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66B" w:rsidRDefault="0089666B" w:rsidP="0089666B"/>
    <w:p w:rsidR="0089666B" w:rsidRPr="0089666B" w:rsidRDefault="0089666B" w:rsidP="0089666B">
      <w:pPr>
        <w:jc w:val="center"/>
        <w:rPr>
          <w:b/>
        </w:rPr>
      </w:pPr>
    </w:p>
    <w:p w:rsidR="0089666B" w:rsidRPr="0089666B" w:rsidRDefault="0089666B" w:rsidP="0089666B">
      <w:pPr>
        <w:jc w:val="center"/>
        <w:rPr>
          <w:b/>
        </w:rPr>
      </w:pPr>
      <w:r w:rsidRPr="0089666B">
        <w:rPr>
          <w:b/>
        </w:rPr>
        <w:t xml:space="preserve">Informationspflichten gegenüber Patienten im Krankenhausbereich </w:t>
      </w:r>
      <w:r w:rsidRPr="0089666B">
        <w:rPr>
          <w:b/>
        </w:rPr>
        <w:br/>
        <w:t xml:space="preserve">auf der Grundlage der Art. 12 ff. DS-GVO </w:t>
      </w:r>
    </w:p>
    <w:p w:rsidR="0089666B" w:rsidRDefault="0089666B" w:rsidP="0089666B"/>
    <w:p w:rsidR="0089666B" w:rsidRDefault="0089666B" w:rsidP="0089666B"/>
    <w:p w:rsidR="00C31357" w:rsidRDefault="00C31357" w:rsidP="0089666B"/>
    <w:p w:rsidR="0089666B" w:rsidRPr="00C31357" w:rsidRDefault="0089666B" w:rsidP="0089666B">
      <w:pPr>
        <w:rPr>
          <w:b/>
        </w:rPr>
      </w:pPr>
      <w:r w:rsidRPr="00C31357">
        <w:rPr>
          <w:b/>
        </w:rPr>
        <w:t xml:space="preserve">Informationspflicht bei der Erhebung personenbezogener Daten </w:t>
      </w:r>
    </w:p>
    <w:p w:rsidR="0089666B" w:rsidRPr="0089666B" w:rsidRDefault="0089666B" w:rsidP="0089666B">
      <w:pPr>
        <w:rPr>
          <w:b/>
        </w:rPr>
      </w:pPr>
    </w:p>
    <w:p w:rsidR="0089666B" w:rsidRDefault="0089666B" w:rsidP="0089666B"/>
    <w:p w:rsidR="0089666B" w:rsidRDefault="0089666B" w:rsidP="0089666B">
      <w:r>
        <w:t xml:space="preserve">Sehr geehrte Patienten, </w:t>
      </w:r>
    </w:p>
    <w:p w:rsidR="0089666B" w:rsidRDefault="0089666B" w:rsidP="0089666B"/>
    <w:p w:rsidR="0089666B" w:rsidRDefault="0089666B" w:rsidP="00B23799">
      <w:pPr>
        <w:jc w:val="both"/>
      </w:pPr>
      <w:r>
        <w:t xml:space="preserve">im Rahmen Ihrer Behandlung bzw. Versorgung ist es erforderlich, personenbezogene und auch medizinische Daten über Ihre Person zu verarbeiten. Da die Vorgänge sowohl innerhalb unseres Krankenhauses als auch im Zusammenspiel mit weiteren an Ihrer Behandlung beteiligten Personen / Institutionen des Gesundheitswesens nicht leicht zu überblicken sind, haben wir für Sie die nachfolgenden Informationen zusammengestellt: </w:t>
      </w:r>
    </w:p>
    <w:p w:rsidR="0089666B" w:rsidRDefault="0089666B" w:rsidP="00B23799">
      <w:pPr>
        <w:jc w:val="both"/>
      </w:pPr>
    </w:p>
    <w:p w:rsidR="0089666B" w:rsidRPr="0089666B" w:rsidRDefault="0089666B" w:rsidP="0089666B">
      <w:pPr>
        <w:rPr>
          <w:b/>
        </w:rPr>
      </w:pPr>
      <w:r w:rsidRPr="0089666B">
        <w:rPr>
          <w:b/>
        </w:rPr>
        <w:t xml:space="preserve">Zwecke, für die Ihre personenbezogenen Daten verarbeitet werden: </w:t>
      </w:r>
    </w:p>
    <w:p w:rsidR="0089666B" w:rsidRDefault="0089666B" w:rsidP="0089666B"/>
    <w:p w:rsidR="007B7CE3" w:rsidRDefault="0089666B" w:rsidP="00B23799">
      <w:pPr>
        <w:jc w:val="both"/>
      </w:pPr>
      <w:r>
        <w:t>Im Rahmen Ihrer Behandlung werden Daten über Ihre Person, Ihren sozialen Status sowie die für die Behandlung notwendigen medizinischen Daten erhoben, erfass</w:t>
      </w:r>
      <w:r w:rsidR="007B7CE3">
        <w:t>t, gespeichert, verarbeitet, ab</w:t>
      </w:r>
      <w:r>
        <w:t xml:space="preserve">gefragt, genutzt, übermittelt usw. Insgesamt spricht man von der „Verarbeitung“ Ihrer Daten. Dieser Begriff der „Verarbeitung“ bildet den Oberbegriff über alle diese Tätigkeiten. Die Verarbeitung von Patientendaten im Krankenhaus ist aus Datenschutzgründen nur möglich, wenn eine gesetzliche Grundlage dies vorschreibt bzw. erlaubt oder Sie als Patient hierzu Ihre Einwilligung erteilt haben. </w:t>
      </w:r>
    </w:p>
    <w:p w:rsidR="007B7CE3" w:rsidRDefault="007B7CE3" w:rsidP="00B23799">
      <w:pPr>
        <w:jc w:val="both"/>
      </w:pPr>
    </w:p>
    <w:p w:rsidR="007B7CE3" w:rsidRDefault="0089666B" w:rsidP="00B23799">
      <w:pPr>
        <w:jc w:val="both"/>
      </w:pPr>
      <w:r>
        <w:t>Für Ihre patientenbezogene Versorgung / Behandlung notwendi</w:t>
      </w:r>
      <w:r w:rsidR="007B7CE3">
        <w:t>g sind dabei insbesondere Verar</w:t>
      </w:r>
      <w:r>
        <w:t>beitungen Ihrer Daten aus präventiven, diagnostischen, therapeut</w:t>
      </w:r>
      <w:r w:rsidR="007B7CE3">
        <w:t>ischen, kurativen und auch nach</w:t>
      </w:r>
      <w:r>
        <w:t>sorgenden Gründen. Ebenso erfolgen Verarbeitungen – im Sinne einer bestmöglichen Versorgung – im Hinblick auf interdisziplinäre Konferenzen zur Analyse und Erörterung von Diagnostik und Therapie, zur Vor-, Mit-, Weiterversorgung bzgl. Diagnostik, Therapie, Befunden sowie Krankheits- / Vitalstatus. Daneben werden Arztbriefe / Berichte geschrieben und es erfolgen Verarbeitungen aus Qualitätssicherungsgründen, zum Erkennen und Bekämpfe</w:t>
      </w:r>
      <w:r w:rsidR="007B7CE3">
        <w:t>n von Krankenhausinfektionen so</w:t>
      </w:r>
      <w:r>
        <w:t xml:space="preserve">wie zur seelsorgerischen und sozialen Betreuung und zum Entlassmanagement. </w:t>
      </w:r>
    </w:p>
    <w:p w:rsidR="007B7CE3" w:rsidRDefault="007B7CE3" w:rsidP="00B23799">
      <w:pPr>
        <w:jc w:val="both"/>
      </w:pPr>
    </w:p>
    <w:p w:rsidR="007B7CE3" w:rsidRDefault="0089666B" w:rsidP="00B23799">
      <w:pPr>
        <w:jc w:val="both"/>
      </w:pPr>
      <w:r>
        <w:t>Neben diesen patientenbezogenen Verarbeitungen bedarf es a</w:t>
      </w:r>
      <w:r w:rsidR="007B7CE3">
        <w:t>uch einer verwaltungsmäßigen Ab</w:t>
      </w:r>
      <w:r>
        <w:t xml:space="preserve">wicklung Ihrer Behandlung. Dies bedingt im Wesentlichen die </w:t>
      </w:r>
      <w:r w:rsidR="007B7CE3">
        <w:t>Verarbeitung Ihrer Daten zur Ab</w:t>
      </w:r>
      <w:r>
        <w:t>rechnung Ihrer Behandlung, aus Gründen des Controllings / de</w:t>
      </w:r>
      <w:r w:rsidR="007B7CE3">
        <w:t>r Rechnungsprüfung, zur Geltend</w:t>
      </w:r>
      <w:r>
        <w:t>machung, Ausübung sowie Verteidigung von Rechtsansprüchen, usw. Ferner erf</w:t>
      </w:r>
      <w:r w:rsidR="007B7CE3">
        <w:t>olgen Datenverar</w:t>
      </w:r>
      <w:r>
        <w:t>beitungen zu Zwecken der Ausbildung, der Fort- und Weiterbild</w:t>
      </w:r>
      <w:r w:rsidR="007B7CE3">
        <w:t>ung von Ärzten und von Angehöri</w:t>
      </w:r>
      <w:r>
        <w:t>gen anderer Berufe des Gesundheitswesen</w:t>
      </w:r>
      <w:r w:rsidR="007B7CE3">
        <w:t>s</w:t>
      </w:r>
      <w:r>
        <w:t>, zur Forschung oder</w:t>
      </w:r>
      <w:r w:rsidR="007B7CE3">
        <w:t xml:space="preserve"> zu gesetzlich vorgesehenen Mel</w:t>
      </w:r>
      <w:r>
        <w:t xml:space="preserve">depflichten (z.B. an die Polizei aufgrund des Melderechts, an </w:t>
      </w:r>
      <w:r w:rsidR="007B7CE3">
        <w:t>staatliche Gesundheitsämter auf</w:t>
      </w:r>
      <w:r>
        <w:t>grund des Infektionsschutzgesetzes, an Krebsregister) sowie n</w:t>
      </w:r>
      <w:r w:rsidR="007B7CE3">
        <w:t>icht zuletzt aus Gründen der Be</w:t>
      </w:r>
      <w:r>
        <w:t xml:space="preserve">treuung und Wartung von IT-Systemen und Anwendungen, usw. </w:t>
      </w:r>
    </w:p>
    <w:p w:rsidR="007B7CE3" w:rsidRDefault="007B7CE3" w:rsidP="00B23799">
      <w:pPr>
        <w:jc w:val="both"/>
      </w:pPr>
    </w:p>
    <w:p w:rsidR="007B7CE3" w:rsidRPr="007B7CE3" w:rsidRDefault="0089666B" w:rsidP="0089666B">
      <w:pPr>
        <w:rPr>
          <w:b/>
        </w:rPr>
      </w:pPr>
      <w:r w:rsidRPr="007B7CE3">
        <w:rPr>
          <w:b/>
        </w:rPr>
        <w:t xml:space="preserve">Von wem erhalten wir Ihre Daten? </w:t>
      </w:r>
    </w:p>
    <w:p w:rsidR="007B7CE3" w:rsidRDefault="007B7CE3" w:rsidP="0089666B"/>
    <w:p w:rsidR="00A56617" w:rsidRDefault="0089666B" w:rsidP="00B23799">
      <w:pPr>
        <w:jc w:val="both"/>
      </w:pPr>
      <w:r>
        <w:t>Die entsprechenden Daten erheben wir grundsätzlich – sofern möglich – bei Ihnen selbst. Teilweise kann es jedoch auch vorkommen, dass wir von anderen Krankenhäu</w:t>
      </w:r>
      <w:r w:rsidR="00A56617">
        <w:t>sern, die etwa Ihre Erst- / Vor-</w:t>
      </w:r>
      <w:r>
        <w:t>Behandlung durchgeführt haben, von niedergelassenen Ärzten, Fachärzten, Medizinischen V</w:t>
      </w:r>
      <w:r w:rsidR="00A56617">
        <w:t>ersor</w:t>
      </w:r>
      <w:r>
        <w:t>gungszentren (sog. MVZ), usw. Sie betreffende personenbezogene Daten erhalten. Diese werden in unserem Krankenhaus im Sinne einer einheitlichen Dokumenta</w:t>
      </w:r>
      <w:r w:rsidR="00A56617">
        <w:t>tion mit Ihren übrigen Daten zu</w:t>
      </w:r>
      <w:r>
        <w:t xml:space="preserve">sammengeführt. </w:t>
      </w:r>
    </w:p>
    <w:p w:rsidR="00A56617" w:rsidRDefault="00A56617" w:rsidP="00B23799">
      <w:pPr>
        <w:jc w:val="both"/>
      </w:pPr>
    </w:p>
    <w:p w:rsidR="00A56617" w:rsidRDefault="00A56617" w:rsidP="00B23799">
      <w:pPr>
        <w:jc w:val="both"/>
      </w:pPr>
    </w:p>
    <w:p w:rsidR="00A56617" w:rsidRDefault="00A56617" w:rsidP="00B23799">
      <w:pPr>
        <w:jc w:val="both"/>
      </w:pPr>
    </w:p>
    <w:p w:rsidR="00A56617" w:rsidRDefault="00A56617" w:rsidP="0089666B"/>
    <w:p w:rsidR="00A56617" w:rsidRPr="00A56617" w:rsidRDefault="0089666B" w:rsidP="0089666B">
      <w:pPr>
        <w:rPr>
          <w:b/>
        </w:rPr>
      </w:pPr>
      <w:r w:rsidRPr="00A56617">
        <w:rPr>
          <w:b/>
        </w:rPr>
        <w:t xml:space="preserve">Wer hat Zugriff auf Ihre Daten? </w:t>
      </w:r>
    </w:p>
    <w:p w:rsidR="00A56617" w:rsidRDefault="00A56617" w:rsidP="0089666B"/>
    <w:p w:rsidR="00A56617" w:rsidRDefault="0089666B" w:rsidP="00B23799">
      <w:pPr>
        <w:jc w:val="both"/>
      </w:pPr>
      <w:r>
        <w:t xml:space="preserve">Die an Ihrer Behandlung beteiligten Personen haben Zugriff auf Ihre Daten, wozu etwa auch Ärzte anderer Abteilungen zählen, die an einer fachübergreifenden Behandlung teilnehmen oder die Verwaltung, die die Abrechnung Ihrer Behandlung vornimmt. </w:t>
      </w:r>
    </w:p>
    <w:p w:rsidR="00A56617" w:rsidRDefault="00A56617" w:rsidP="00B23799">
      <w:pPr>
        <w:jc w:val="both"/>
      </w:pPr>
    </w:p>
    <w:p w:rsidR="00A56617" w:rsidRDefault="0089666B" w:rsidP="00B23799">
      <w:pPr>
        <w:jc w:val="both"/>
      </w:pPr>
      <w:r>
        <w:t xml:space="preserve">Ihre Daten werden von Fachpersonal oder unter dessen Verantwortung verarbeitet. Dieses Fachpersonal unterliegt entweder dem sog. Berufsgeheimnis oder einer Geheimhaltungspflicht. </w:t>
      </w:r>
    </w:p>
    <w:p w:rsidR="00A56617" w:rsidRDefault="00A56617" w:rsidP="00B23799">
      <w:pPr>
        <w:jc w:val="both"/>
      </w:pPr>
    </w:p>
    <w:p w:rsidR="00A56617" w:rsidRDefault="0089666B" w:rsidP="00B23799">
      <w:pPr>
        <w:jc w:val="both"/>
      </w:pPr>
      <w:r>
        <w:t xml:space="preserve">Der vertrauliche Umgang mit Ihren Daten wird gewährleistet! </w:t>
      </w:r>
    </w:p>
    <w:p w:rsidR="00A56617" w:rsidRDefault="00A56617" w:rsidP="00B23799">
      <w:pPr>
        <w:jc w:val="both"/>
      </w:pPr>
    </w:p>
    <w:p w:rsidR="00A56617" w:rsidRPr="00A56617" w:rsidRDefault="0089666B" w:rsidP="0089666B">
      <w:pPr>
        <w:rPr>
          <w:b/>
        </w:rPr>
      </w:pPr>
      <w:r w:rsidRPr="00A56617">
        <w:rPr>
          <w:b/>
        </w:rPr>
        <w:t xml:space="preserve">Rechtsgrundlage für die Verarbeitung Ihrer Daten durch den Krankenhausträger </w:t>
      </w:r>
    </w:p>
    <w:p w:rsidR="00A56617" w:rsidRDefault="00A56617" w:rsidP="0089666B"/>
    <w:p w:rsidR="00A56617" w:rsidRDefault="0089666B" w:rsidP="00B23799">
      <w:pPr>
        <w:jc w:val="both"/>
      </w:pPr>
      <w:r>
        <w:t>Die Grundlage dafür, dass der Krankenhausträger Ihre Daten datenschutzrechtlich verarbeiten darf, ergibt sich hauptsächlich daraus, dass der Krankenhaust</w:t>
      </w:r>
      <w:r w:rsidR="00A56617">
        <w:t>räger für die Versorgung und Be</w:t>
      </w:r>
      <w:r>
        <w:t xml:space="preserve">handlung von Patienten zuständig ist. Auf dieser Grundlage gibt es unterschiedliche Gesetze und Verordnungen, die dem Krankenhausträger eine Verarbeitung der Daten erlauben. </w:t>
      </w:r>
    </w:p>
    <w:p w:rsidR="00A56617" w:rsidRDefault="00A56617" w:rsidP="00B23799">
      <w:pPr>
        <w:jc w:val="both"/>
      </w:pPr>
    </w:p>
    <w:p w:rsidR="00A56617" w:rsidRDefault="0089666B" w:rsidP="00B23799">
      <w:pPr>
        <w:jc w:val="both"/>
      </w:pPr>
      <w:r>
        <w:t>Genannt sei hier insbesondere die sog. EU Datenschutz-Gru</w:t>
      </w:r>
      <w:r w:rsidR="003A2A20">
        <w:t>ndverordnung (DS-GVO)</w:t>
      </w:r>
      <w:r w:rsidR="001B5001">
        <w:t xml:space="preserve">, </w:t>
      </w:r>
      <w:r>
        <w:t xml:space="preserve">z.B. Art. 6, 9 DS-GVO, die ausdrücklich regelt, dass Daten von Patienten verarbeitet werden dürfen. Daneben finden sich </w:t>
      </w:r>
      <w:r w:rsidR="00E65789">
        <w:t xml:space="preserve">auch </w:t>
      </w:r>
      <w:r>
        <w:t xml:space="preserve">Grundlagen im </w:t>
      </w:r>
      <w:r w:rsidR="00A56617">
        <w:t>Sozialgesetz</w:t>
      </w:r>
      <w:r>
        <w:t xml:space="preserve">buch (SGB V), z.B. </w:t>
      </w:r>
      <w:r w:rsidR="00E65789">
        <w:t xml:space="preserve">im </w:t>
      </w:r>
      <w:r>
        <w:t xml:space="preserve">§ 301 SGB V, </w:t>
      </w:r>
      <w:r w:rsidR="00E65789">
        <w:t>im</w:t>
      </w:r>
      <w:r w:rsidR="00852955">
        <w:t xml:space="preserve"> </w:t>
      </w:r>
      <w:r>
        <w:t>Bundes</w:t>
      </w:r>
      <w:r w:rsidR="00A56617">
        <w:t>datenschutzgesetz (BDSG), insbe</w:t>
      </w:r>
      <w:r>
        <w:t xml:space="preserve">sondere </w:t>
      </w:r>
      <w:r w:rsidR="00E65789">
        <w:t xml:space="preserve">im </w:t>
      </w:r>
      <w:r>
        <w:t xml:space="preserve">§ 22 BDSG und im Bürgerlichen Gesetzbuch (BGB), </w:t>
      </w:r>
      <w:r w:rsidR="00E65789">
        <w:t xml:space="preserve">z.B. in den </w:t>
      </w:r>
      <w:r>
        <w:t xml:space="preserve"> §§ 630 ff. BGB, </w:t>
      </w:r>
      <w:r w:rsidR="00E65789">
        <w:t xml:space="preserve">welche </w:t>
      </w:r>
      <w:r>
        <w:t>eine Verarbeitung Ihrer Daten</w:t>
      </w:r>
      <w:r w:rsidR="00852955">
        <w:t xml:space="preserve"> </w:t>
      </w:r>
      <w:r w:rsidR="00E65789">
        <w:t>ermöglichen.</w:t>
      </w:r>
    </w:p>
    <w:p w:rsidR="00A56617" w:rsidRDefault="00A56617" w:rsidP="00B23799">
      <w:pPr>
        <w:jc w:val="both"/>
      </w:pPr>
    </w:p>
    <w:p w:rsidR="00A56617" w:rsidRDefault="0089666B" w:rsidP="00B23799">
      <w:pPr>
        <w:jc w:val="both"/>
      </w:pPr>
      <w:r>
        <w:t xml:space="preserve">Als Rechtsgrundlagen für die Verarbeitung seien hier beispielhaft genannt: </w:t>
      </w:r>
    </w:p>
    <w:p w:rsidR="00A56617" w:rsidRDefault="00A56617" w:rsidP="00B23799">
      <w:pPr>
        <w:jc w:val="both"/>
      </w:pPr>
    </w:p>
    <w:p w:rsidR="00A56617" w:rsidRDefault="0089666B" w:rsidP="00B23799">
      <w:pPr>
        <w:jc w:val="both"/>
      </w:pPr>
      <w:r>
        <w:t xml:space="preserve">- Datenverarbeitungen zum Zwecke der Durchführung sowie </w:t>
      </w:r>
      <w:r w:rsidR="00A56617">
        <w:t>Dokumentation des</w:t>
      </w:r>
      <w:r w:rsidR="00FC0C75">
        <w:br/>
      </w:r>
      <w:r w:rsidR="00A56617">
        <w:t>Behandlungsge</w:t>
      </w:r>
      <w:r>
        <w:t xml:space="preserve">schehens einschließlich des innerärztlichen und interprofessionellen Austauschs im Krankenhaus über den Patienten für die Behandlung </w:t>
      </w:r>
      <w:r w:rsidR="00F70A89">
        <w:t>gem.</w:t>
      </w:r>
      <w:r>
        <w:t xml:space="preserve">Art. 9 Abs. 2h, Abs. 3, Abs. 4 DS-GVO i.V.m. §§ 630a ff, 630f BGB </w:t>
      </w:r>
    </w:p>
    <w:p w:rsidR="00A56617" w:rsidRDefault="00A56617" w:rsidP="00B23799">
      <w:pPr>
        <w:jc w:val="both"/>
      </w:pPr>
    </w:p>
    <w:p w:rsidR="00A56617" w:rsidRDefault="0089666B" w:rsidP="00B23799">
      <w:pPr>
        <w:jc w:val="both"/>
      </w:pPr>
      <w:r>
        <w:t>- Datenübermittlung an „Externe“ im Sinne einer gemeinsamen Behandlung (im Team), Zuziehung externer Konsiliarärzte, z.B. Labor, Telemedizin, sowie Zuziehung externer Therape</w:t>
      </w:r>
      <w:r w:rsidR="003A2A20">
        <w:t xml:space="preserve">uten </w:t>
      </w:r>
      <w:r w:rsidR="00F70A89">
        <w:t xml:space="preserve">gem. </w:t>
      </w:r>
      <w:r w:rsidR="003A2A20">
        <w:t>Art. 9 Abs. 2h, Abs. 3,</w:t>
      </w:r>
      <w:r>
        <w:t xml:space="preserve"> Abs.4 DS-GVO.), </w:t>
      </w:r>
    </w:p>
    <w:p w:rsidR="00A56617" w:rsidRDefault="00A56617" w:rsidP="00B23799">
      <w:pPr>
        <w:jc w:val="both"/>
      </w:pPr>
    </w:p>
    <w:p w:rsidR="00A56617" w:rsidRDefault="0089666B" w:rsidP="00B23799">
      <w:pPr>
        <w:jc w:val="both"/>
      </w:pPr>
      <w:r>
        <w:t xml:space="preserve">- Datenübermittlung an die gesetzlichen Krankenkassen zum Zwecke der Abrechnung </w:t>
      </w:r>
      <w:r w:rsidR="00F70A89">
        <w:t xml:space="preserve">gem. </w:t>
      </w:r>
      <w:r>
        <w:t xml:space="preserve">Art. 9 Abs. 2h, Abs. 3, Abs. 4 DS-GVO i.V.m. § 301 SGB V, </w:t>
      </w:r>
    </w:p>
    <w:p w:rsidR="00A56617" w:rsidRDefault="00A56617" w:rsidP="00B23799">
      <w:pPr>
        <w:jc w:val="both"/>
      </w:pPr>
    </w:p>
    <w:p w:rsidR="00A56617" w:rsidRDefault="0089666B" w:rsidP="00B23799">
      <w:pPr>
        <w:jc w:val="both"/>
      </w:pPr>
      <w:r>
        <w:t xml:space="preserve">- Datenübermittlung zu Zwecken der Qualitätssicherung </w:t>
      </w:r>
      <w:r w:rsidR="00F70A89">
        <w:t xml:space="preserve">gem. </w:t>
      </w:r>
      <w:r>
        <w:t xml:space="preserve">Art. 9 Abs. 2i DS-GVO i.V.m. § 299 SGB V i.V.m. § 136 SGB V bzw. den Richtlinien des G-BA, usw. </w:t>
      </w:r>
    </w:p>
    <w:p w:rsidR="00A56617" w:rsidRDefault="00A56617" w:rsidP="00B23799">
      <w:pPr>
        <w:jc w:val="both"/>
      </w:pPr>
    </w:p>
    <w:p w:rsidR="00A56617" w:rsidRDefault="0089666B" w:rsidP="00B23799">
      <w:pPr>
        <w:jc w:val="both"/>
      </w:pPr>
      <w:r>
        <w:t xml:space="preserve">Daneben sind Verarbeitungen auch in Fällen zulässig, in denen Sie uns Ihre Einwilligung erklärt haben. </w:t>
      </w:r>
    </w:p>
    <w:p w:rsidR="00A56617" w:rsidRDefault="00A56617" w:rsidP="00B23799">
      <w:pPr>
        <w:jc w:val="both"/>
      </w:pPr>
    </w:p>
    <w:p w:rsidR="00A56617" w:rsidRPr="00A56617" w:rsidRDefault="0089666B" w:rsidP="0089666B">
      <w:pPr>
        <w:rPr>
          <w:b/>
        </w:rPr>
      </w:pPr>
      <w:r w:rsidRPr="00A56617">
        <w:rPr>
          <w:b/>
        </w:rPr>
        <w:t xml:space="preserve">Notwendigkeit der Angabe Ihrer Personalien </w:t>
      </w:r>
    </w:p>
    <w:p w:rsidR="00A56617" w:rsidRDefault="00A56617" w:rsidP="0089666B"/>
    <w:p w:rsidR="000336EC" w:rsidRDefault="0089666B" w:rsidP="00B23799">
      <w:pPr>
        <w:jc w:val="both"/>
      </w:pPr>
      <w:r>
        <w:t>Die ordnungsgemäße administrative Abwicklung Ihrer Behandlung</w:t>
      </w:r>
      <w:r w:rsidR="00A56617">
        <w:t xml:space="preserve"> bedingt die Aufnahme Ihrer Per</w:t>
      </w:r>
      <w:r>
        <w:t xml:space="preserve">sonalien. Davon ausgenommen sind ausschließlich die Fälle der vertraulichen Geburt. </w:t>
      </w:r>
    </w:p>
    <w:p w:rsidR="000336EC" w:rsidRDefault="000336EC" w:rsidP="00B23799">
      <w:pPr>
        <w:jc w:val="both"/>
      </w:pPr>
    </w:p>
    <w:p w:rsidR="000336EC" w:rsidRDefault="0089666B" w:rsidP="0089666B">
      <w:r w:rsidRPr="000336EC">
        <w:rPr>
          <w:b/>
        </w:rPr>
        <w:t>Mögliche Empfänger Ihrer Daten</w:t>
      </w:r>
      <w:r>
        <w:t xml:space="preserve"> </w:t>
      </w:r>
    </w:p>
    <w:p w:rsidR="000336EC" w:rsidRDefault="000336EC" w:rsidP="0089666B"/>
    <w:p w:rsidR="000336EC" w:rsidRDefault="0089666B" w:rsidP="00B23799">
      <w:pPr>
        <w:jc w:val="both"/>
      </w:pPr>
      <w:r>
        <w:t>Ihre Daten werden im Rahmen der Zweckbestimmung unter Beach</w:t>
      </w:r>
      <w:r w:rsidR="00A56617">
        <w:t>tung der jeweiligen datenschutz</w:t>
      </w:r>
      <w:r>
        <w:t xml:space="preserve">rechtlichen Regelungen bzw. etwaiger vorliegender Einwilligungserklärungen erhoben und ggf. an Dritte übermittelt. Als derartige Dritte kommen insbesondere in Betracht: </w:t>
      </w:r>
    </w:p>
    <w:p w:rsidR="001B5001" w:rsidRDefault="001B5001" w:rsidP="00B23799">
      <w:pPr>
        <w:jc w:val="both"/>
      </w:pPr>
    </w:p>
    <w:p w:rsidR="001B5001" w:rsidRDefault="001B5001" w:rsidP="00B23799">
      <w:pPr>
        <w:jc w:val="both"/>
      </w:pPr>
    </w:p>
    <w:p w:rsidR="001B5001" w:rsidRDefault="001B5001" w:rsidP="00B23799">
      <w:pPr>
        <w:jc w:val="both"/>
      </w:pPr>
    </w:p>
    <w:p w:rsidR="001B5001" w:rsidRDefault="001B5001" w:rsidP="00B23799">
      <w:pPr>
        <w:jc w:val="both"/>
      </w:pPr>
    </w:p>
    <w:p w:rsidR="000336EC" w:rsidRDefault="000336EC" w:rsidP="00B23799">
      <w:pPr>
        <w:jc w:val="both"/>
      </w:pPr>
    </w:p>
    <w:p w:rsidR="000336EC" w:rsidRDefault="0089666B" w:rsidP="00B23799">
      <w:pPr>
        <w:jc w:val="both"/>
      </w:pPr>
      <w:r>
        <w:t>- gesetzliche Krankenkassen sofern Sie gesetzlich versichert sind,</w:t>
      </w:r>
    </w:p>
    <w:p w:rsidR="000336EC" w:rsidRDefault="0089666B" w:rsidP="00B23799">
      <w:pPr>
        <w:jc w:val="both"/>
      </w:pPr>
      <w:r>
        <w:t xml:space="preserve">- private Krankenversicherungen sofern Sie privat versichert, </w:t>
      </w:r>
    </w:p>
    <w:p w:rsidR="000336EC" w:rsidRDefault="0089666B" w:rsidP="00B23799">
      <w:pPr>
        <w:jc w:val="both"/>
      </w:pPr>
      <w:r>
        <w:t xml:space="preserve">- Unfallversicherungsträger, </w:t>
      </w:r>
    </w:p>
    <w:p w:rsidR="000336EC" w:rsidRDefault="0089666B" w:rsidP="00B23799">
      <w:pPr>
        <w:jc w:val="both"/>
      </w:pPr>
      <w:r>
        <w:t xml:space="preserve">- Hausärzte, </w:t>
      </w:r>
    </w:p>
    <w:p w:rsidR="000336EC" w:rsidRDefault="0089666B" w:rsidP="00B23799">
      <w:pPr>
        <w:jc w:val="both"/>
      </w:pPr>
      <w:r>
        <w:t xml:space="preserve">- weiter-, nach- bzw. mitbehandelnde Ärzte, </w:t>
      </w:r>
    </w:p>
    <w:p w:rsidR="000336EC" w:rsidRDefault="0089666B" w:rsidP="00B23799">
      <w:pPr>
        <w:jc w:val="both"/>
      </w:pPr>
      <w:r>
        <w:t xml:space="preserve">- andere Einrichtungen der Gesundheitsversorgung oder Behandlung, </w:t>
      </w:r>
    </w:p>
    <w:p w:rsidR="000336EC" w:rsidRDefault="0089666B" w:rsidP="00B23799">
      <w:pPr>
        <w:jc w:val="both"/>
      </w:pPr>
      <w:r>
        <w:t xml:space="preserve">- Rehabilitationseinrichtungen, </w:t>
      </w:r>
    </w:p>
    <w:p w:rsidR="000336EC" w:rsidRDefault="0089666B" w:rsidP="00B23799">
      <w:pPr>
        <w:jc w:val="both"/>
      </w:pPr>
      <w:r>
        <w:t xml:space="preserve">- Pflegeeinrichtungen, </w:t>
      </w:r>
    </w:p>
    <w:p w:rsidR="000336EC" w:rsidRDefault="0089666B" w:rsidP="00B23799">
      <w:pPr>
        <w:jc w:val="both"/>
      </w:pPr>
      <w:r>
        <w:t xml:space="preserve">- externe Datenverarbeiter (sog. Auftragsverarbeiter) sowie </w:t>
      </w:r>
    </w:p>
    <w:p w:rsidR="000336EC" w:rsidRDefault="0089666B" w:rsidP="00B23799">
      <w:pPr>
        <w:jc w:val="both"/>
      </w:pPr>
      <w:r>
        <w:t xml:space="preserve">- Seelsorger (in kirchlichen Einrichtungen), usw. </w:t>
      </w:r>
    </w:p>
    <w:p w:rsidR="000336EC" w:rsidRDefault="000336EC" w:rsidP="00B23799">
      <w:pPr>
        <w:jc w:val="both"/>
      </w:pPr>
    </w:p>
    <w:p w:rsidR="00AC7783" w:rsidRPr="00AC7783" w:rsidRDefault="0089666B" w:rsidP="0089666B">
      <w:pPr>
        <w:rPr>
          <w:b/>
        </w:rPr>
      </w:pPr>
      <w:r w:rsidRPr="00AC7783">
        <w:rPr>
          <w:b/>
        </w:rPr>
        <w:t xml:space="preserve">Welche Daten werden im Einzelnen übermittelt? </w:t>
      </w:r>
    </w:p>
    <w:p w:rsidR="00AC7783" w:rsidRDefault="00AC7783" w:rsidP="0089666B"/>
    <w:p w:rsidR="00AC7783" w:rsidRDefault="0089666B" w:rsidP="00B23799">
      <w:pPr>
        <w:jc w:val="both"/>
      </w:pPr>
      <w:r>
        <w:t>Sofern Daten übermittelt werden, hängt es im Einzelfall vom jeweiligen E</w:t>
      </w:r>
      <w:r w:rsidR="00A56617">
        <w:t>mpfänger ab, welche Da</w:t>
      </w:r>
      <w:r>
        <w:t xml:space="preserve">ten dies sind. Bei einer Übermittlung entsprechend § 301 SGB V an Ihre Krankenkasse handelt es sich zum Beispiel um folgende Daten: </w:t>
      </w:r>
    </w:p>
    <w:p w:rsidR="00AC7783" w:rsidRDefault="00AC7783" w:rsidP="00B23799">
      <w:pPr>
        <w:jc w:val="both"/>
      </w:pPr>
    </w:p>
    <w:p w:rsidR="00FC0C75" w:rsidRDefault="00FC0C75" w:rsidP="00FC0C75">
      <w:pPr>
        <w:jc w:val="both"/>
      </w:pPr>
      <w:r>
        <w:t xml:space="preserve">1. </w:t>
      </w:r>
      <w:r w:rsidR="0089666B">
        <w:t xml:space="preserve">Name des Versicherten, </w:t>
      </w:r>
    </w:p>
    <w:p w:rsidR="00AC7783" w:rsidRDefault="0089666B" w:rsidP="00B23799">
      <w:pPr>
        <w:jc w:val="both"/>
      </w:pPr>
      <w:r>
        <w:t xml:space="preserve">2. Geburtsdatum, </w:t>
      </w:r>
    </w:p>
    <w:p w:rsidR="00AC7783" w:rsidRDefault="0089666B" w:rsidP="00B23799">
      <w:pPr>
        <w:jc w:val="both"/>
      </w:pPr>
      <w:r>
        <w:t xml:space="preserve">3. Anschrift, </w:t>
      </w:r>
    </w:p>
    <w:p w:rsidR="00AC7783" w:rsidRDefault="0089666B" w:rsidP="00B23799">
      <w:pPr>
        <w:jc w:val="both"/>
      </w:pPr>
      <w:r>
        <w:t xml:space="preserve">4. Krankenversichertennummer, </w:t>
      </w:r>
    </w:p>
    <w:p w:rsidR="00AC7783" w:rsidRDefault="0089666B" w:rsidP="00B23799">
      <w:pPr>
        <w:jc w:val="both"/>
      </w:pPr>
      <w:r>
        <w:t xml:space="preserve">5. Versichertenstatus, </w:t>
      </w:r>
    </w:p>
    <w:p w:rsidR="00AC7783" w:rsidRDefault="0089666B" w:rsidP="00FC0C75">
      <w:pPr>
        <w:jc w:val="both"/>
      </w:pPr>
      <w:r>
        <w:t>6. den Tag, die Uhrzeit und den Grund der Aufnahme sowie d</w:t>
      </w:r>
      <w:r w:rsidR="00AC7783">
        <w:t>ie Einweisungsdiagnose, die Auf</w:t>
      </w:r>
      <w:r>
        <w:t>nahmediagnose, bei einer Änderung der Aufnahmediagnose die nachfolgenden Diagnosen, die voraussichtliche Dauer der Krankenhausbehandlung sowie, falls diese ü</w:t>
      </w:r>
      <w:r w:rsidR="00AC7783">
        <w:t>berschritten wird, auf Ver</w:t>
      </w:r>
      <w:r>
        <w:t xml:space="preserve">langen der Krankenkasse die medizinische Begründung, bei Kleinkindern bis zu einem Jahr das Aufnahmegewicht, </w:t>
      </w:r>
    </w:p>
    <w:p w:rsidR="00AC7783" w:rsidRDefault="0089666B" w:rsidP="00B23799">
      <w:pPr>
        <w:jc w:val="both"/>
      </w:pPr>
      <w:r>
        <w:t xml:space="preserve">7. Datum und Art der jeweils im Krankenhaus durchgeführten </w:t>
      </w:r>
      <w:r w:rsidR="00AC7783">
        <w:t>Operationen und sonstigen Proze</w:t>
      </w:r>
      <w:r>
        <w:t xml:space="preserve">duren, </w:t>
      </w:r>
    </w:p>
    <w:p w:rsidR="00AC7783" w:rsidRDefault="0089666B" w:rsidP="00B23799">
      <w:pPr>
        <w:jc w:val="both"/>
      </w:pPr>
      <w:r>
        <w:t>8. den Tag, die Uhrzeit und den Grund der Entlassung oder der V</w:t>
      </w:r>
      <w:r w:rsidR="00AC7783">
        <w:t>erlegung sowie die für die Kran</w:t>
      </w:r>
      <w:r>
        <w:t xml:space="preserve">kenhausbehandlung maßgebliche Hauptdiagnose und die Nebendiagnosen, </w:t>
      </w:r>
    </w:p>
    <w:p w:rsidR="00AA6559" w:rsidRDefault="0089666B" w:rsidP="00B23799">
      <w:pPr>
        <w:jc w:val="both"/>
      </w:pPr>
      <w:r>
        <w:t>9. Angaben über die im jeweiligen Krankenhaus durchgeführten Rehabilitationsmaßnahmen sowie Aussagen zur Arbeitsfähigkeit und Vorschläge für die Art der we</w:t>
      </w:r>
      <w:r w:rsidR="00AC7783">
        <w:t>iteren Behandlung mit Angabe ge</w:t>
      </w:r>
      <w:r>
        <w:t xml:space="preserve">eigneter Einrichtungen. </w:t>
      </w:r>
    </w:p>
    <w:p w:rsidR="00AA6559" w:rsidRDefault="00AA6559" w:rsidP="00B23799">
      <w:pPr>
        <w:jc w:val="both"/>
      </w:pPr>
    </w:p>
    <w:p w:rsidR="00AA6559" w:rsidRPr="00AA6559" w:rsidRDefault="0089666B" w:rsidP="0089666B">
      <w:pPr>
        <w:rPr>
          <w:b/>
        </w:rPr>
      </w:pPr>
      <w:r w:rsidRPr="00AA6559">
        <w:rPr>
          <w:b/>
        </w:rPr>
        <w:t xml:space="preserve">Behandlung aufgrund ästhetischer Operationen, Tätowierungen oder Piercings </w:t>
      </w:r>
    </w:p>
    <w:p w:rsidR="00AA6559" w:rsidRDefault="00AA6559" w:rsidP="0089666B"/>
    <w:p w:rsidR="006270EC" w:rsidRDefault="0089666B" w:rsidP="00B23799">
      <w:pPr>
        <w:jc w:val="both"/>
      </w:pPr>
      <w:r>
        <w:t>Für den Fall, dass eine Krankheit vorliegt, für die der Verdacht besteht, dass sie Fo</w:t>
      </w:r>
      <w:r w:rsidR="00AC7783">
        <w:t>lge einer medi</w:t>
      </w:r>
      <w:r>
        <w:t xml:space="preserve">zinisch nicht indizierten ästhetischen Operation, einer Tätowierung oder eines Piercings ist, muss auch diesbezüglich eine Meldung an die Krankenkasse erfolgen. </w:t>
      </w:r>
    </w:p>
    <w:p w:rsidR="006270EC" w:rsidRDefault="006270EC" w:rsidP="00B23799">
      <w:pPr>
        <w:jc w:val="both"/>
      </w:pPr>
    </w:p>
    <w:p w:rsidR="006270EC" w:rsidRPr="006270EC" w:rsidRDefault="0089666B" w:rsidP="0089666B">
      <w:pPr>
        <w:rPr>
          <w:b/>
        </w:rPr>
      </w:pPr>
      <w:r w:rsidRPr="006270EC">
        <w:rPr>
          <w:b/>
        </w:rPr>
        <w:t xml:space="preserve">Widerruf erteilter Einwilligungen </w:t>
      </w:r>
    </w:p>
    <w:p w:rsidR="006270EC" w:rsidRDefault="006270EC" w:rsidP="0089666B"/>
    <w:p w:rsidR="006270EC" w:rsidRDefault="0089666B" w:rsidP="001B5001">
      <w:pPr>
        <w:jc w:val="both"/>
      </w:pPr>
      <w:r>
        <w:t>Wenn die Verarbeitung Ihrer Daten auf einer Einwilligung beruht, die Sie dem Krankenhausträger gegenüber erklärt haben, dann steht Ihnen das Recht zu, Ihre Einwilligung jederzeit zu widerrufen. Diese Erklärung können Sie – schriftlich / per Mail / Fax – an den Krankenhausträger richten. Einer Angabe von Gründen bedarf es dafür nicht. Ihr Widerruf gilt allerdings erst ab dem Zeitpunkt, zu dem dieser dem Krankenhausträger zugeht. Er hat keine Rückwir</w:t>
      </w:r>
      <w:r w:rsidR="00E36559">
        <w:t>kung. Die Verarbeitung Ihrer Da</w:t>
      </w:r>
      <w:r>
        <w:t xml:space="preserve">ten bis zu diesem Zeitpunkt bleibt rechtmäßig. </w:t>
      </w:r>
    </w:p>
    <w:p w:rsidR="001B5001" w:rsidRDefault="001B5001" w:rsidP="001B5001">
      <w:pPr>
        <w:jc w:val="both"/>
      </w:pPr>
    </w:p>
    <w:p w:rsidR="001B5001" w:rsidRDefault="001B5001" w:rsidP="001B5001">
      <w:pPr>
        <w:jc w:val="both"/>
      </w:pPr>
    </w:p>
    <w:p w:rsidR="001B5001" w:rsidRDefault="001B5001" w:rsidP="001B5001">
      <w:pPr>
        <w:jc w:val="both"/>
      </w:pPr>
    </w:p>
    <w:p w:rsidR="001B5001" w:rsidRDefault="001B5001" w:rsidP="001B5001">
      <w:pPr>
        <w:jc w:val="both"/>
      </w:pPr>
    </w:p>
    <w:p w:rsidR="001B5001" w:rsidRDefault="001B5001" w:rsidP="001B5001">
      <w:pPr>
        <w:jc w:val="both"/>
      </w:pPr>
    </w:p>
    <w:p w:rsidR="001B5001" w:rsidRDefault="001B5001" w:rsidP="001B5001">
      <w:pPr>
        <w:jc w:val="both"/>
      </w:pPr>
    </w:p>
    <w:p w:rsidR="001B5001" w:rsidRDefault="001B5001" w:rsidP="001B5001">
      <w:pPr>
        <w:jc w:val="both"/>
      </w:pPr>
    </w:p>
    <w:p w:rsidR="006270EC" w:rsidRDefault="006270EC" w:rsidP="0089666B"/>
    <w:p w:rsidR="006270EC" w:rsidRPr="006270EC" w:rsidRDefault="0089666B" w:rsidP="0089666B">
      <w:pPr>
        <w:rPr>
          <w:b/>
        </w:rPr>
      </w:pPr>
      <w:r w:rsidRPr="006270EC">
        <w:rPr>
          <w:b/>
        </w:rPr>
        <w:t xml:space="preserve">Wahrnehmung berechtigter Interessen des Krankenhausträgers </w:t>
      </w:r>
    </w:p>
    <w:p w:rsidR="006270EC" w:rsidRDefault="006270EC" w:rsidP="0089666B"/>
    <w:p w:rsidR="007B54F9" w:rsidRDefault="0089666B" w:rsidP="00B23799">
      <w:pPr>
        <w:jc w:val="both"/>
      </w:pPr>
      <w:r>
        <w:t>Sofern der Krankenhausträger zur Durchsetzung seiner Ansprüche gegen Sie selbst oder Ihre Krankenkasse gezwungen ist, anwaltliche oder gerichtliche Hilfe in Anspruch zu nehmen, da die vom Krankenhausträger gestellte Rechnung nicht beglichen wird, muss der Krankenhausträger (zu Zwecken der Rechteverfolgung) die dafür notwendigen Daten z</w:t>
      </w:r>
      <w:r w:rsidR="00E36559">
        <w:t>u Ihrer Person und Ihrer Behand</w:t>
      </w:r>
      <w:r>
        <w:t xml:space="preserve">lung offenbaren. </w:t>
      </w:r>
    </w:p>
    <w:p w:rsidR="007B54F9" w:rsidRPr="007B54F9" w:rsidRDefault="007B54F9" w:rsidP="00B23799">
      <w:pPr>
        <w:jc w:val="both"/>
        <w:rPr>
          <w:b/>
        </w:rPr>
      </w:pPr>
    </w:p>
    <w:p w:rsidR="007B54F9" w:rsidRPr="007B54F9" w:rsidRDefault="0089666B" w:rsidP="0089666B">
      <w:pPr>
        <w:rPr>
          <w:b/>
        </w:rPr>
      </w:pPr>
      <w:r w:rsidRPr="007B54F9">
        <w:rPr>
          <w:b/>
        </w:rPr>
        <w:t xml:space="preserve">Wie lange werden Ihre Daten gespeichert? </w:t>
      </w:r>
    </w:p>
    <w:p w:rsidR="007B54F9" w:rsidRPr="007B54F9" w:rsidRDefault="007B54F9" w:rsidP="0089666B">
      <w:pPr>
        <w:rPr>
          <w:b/>
        </w:rPr>
      </w:pPr>
    </w:p>
    <w:p w:rsidR="007B54F9" w:rsidRDefault="0089666B" w:rsidP="00B23799">
      <w:pPr>
        <w:jc w:val="both"/>
      </w:pPr>
      <w:r>
        <w:t>Der Krankenhausträger ist gem. § 630f Bürgerliches Gesetzbuch (</w:t>
      </w:r>
      <w:r w:rsidR="007B54F9">
        <w:t>BGB) dazu verpflichtet, eine Do</w:t>
      </w:r>
      <w:r>
        <w:t>kumentation über Ihre Behandlung zu führen. Dieser Verpflichtung kann der Krankenhausträger in Form einer in Papierform oder elektronisch geführten Patient</w:t>
      </w:r>
      <w:r w:rsidR="007B54F9">
        <w:t>enakte nachkommen. Diese Patien</w:t>
      </w:r>
      <w:r>
        <w:t xml:space="preserve">tendokumentation wird auch nach Abschluss Ihrer Behandlung für lange Zeit vom Krankenhaus verwahrt. Auch dazu ist der Krankenhausträger gesetzlich verpflichtet. </w:t>
      </w:r>
    </w:p>
    <w:p w:rsidR="007B54F9" w:rsidRDefault="007B54F9" w:rsidP="00B23799">
      <w:pPr>
        <w:jc w:val="both"/>
      </w:pPr>
    </w:p>
    <w:p w:rsidR="007B54F9" w:rsidRDefault="0089666B" w:rsidP="00B23799">
      <w:pPr>
        <w:jc w:val="both"/>
      </w:pPr>
      <w:r>
        <w:t>Mit der Frage, wie lange die Dokumente im Einzelnen im Kra</w:t>
      </w:r>
      <w:r w:rsidR="007B54F9">
        <w:t>nkenhaus aufzubewahren sind, be</w:t>
      </w:r>
      <w:r>
        <w:t>schäftigen sich viele spezielle gesetzliche Regelungen. Zu nenn</w:t>
      </w:r>
      <w:r w:rsidR="007B54F9">
        <w:t>en sind etwa das Strahlenschutz</w:t>
      </w:r>
      <w:r>
        <w:t xml:space="preserve">gesetz (StrlSchG), die Apothekenbetriebsordnung (ApBetrO), das Transfusionsgesetz (TFG), und viele mehr. Diese gesetzlichen Regelungen schreiben unterschiedliche Aufbewahrungsfristen vor. </w:t>
      </w:r>
    </w:p>
    <w:p w:rsidR="007B54F9" w:rsidRDefault="007B54F9" w:rsidP="00B23799">
      <w:pPr>
        <w:jc w:val="both"/>
      </w:pPr>
    </w:p>
    <w:p w:rsidR="007B54F9" w:rsidRDefault="0089666B" w:rsidP="00B23799">
      <w:pPr>
        <w:jc w:val="both"/>
      </w:pPr>
      <w:r>
        <w:t>Daneben ist zu beachten, dass Krankenhäuser Patientenakte</w:t>
      </w:r>
      <w:r w:rsidR="007B54F9">
        <w:t>n auch aus Gründen der Beweissi</w:t>
      </w:r>
      <w:r>
        <w:t xml:space="preserve">cherung bis zu 30 Jahre lang aufbewahren. Dies folgt daraus, dass Schadensersatzansprüche, die Patienten gegenüber dem Krankenhaus geltend machen, gemäß § 199 Abs. </w:t>
      </w:r>
      <w:r w:rsidR="007B54F9">
        <w:t>2 Bürgerliches Ge</w:t>
      </w:r>
      <w:r>
        <w:t>setzbuch (BGB) spätestens in 30 Jahren verjähren. Ein Haftun</w:t>
      </w:r>
      <w:r w:rsidR="007B54F9">
        <w:t>gsprozess könnte also erst Jahr</w:t>
      </w:r>
      <w:r>
        <w:t>zehnte nach Beendigung der Behandlung gegen den Kranken</w:t>
      </w:r>
      <w:r w:rsidR="007B54F9">
        <w:t>hausträger anhängig gemacht wer</w:t>
      </w:r>
      <w:r>
        <w:t xml:space="preserve">den. Würde das Krankenhaus mit der Schadensersatzforderung </w:t>
      </w:r>
      <w:r w:rsidR="007B54F9">
        <w:t>eines Patienten wegen eines be</w:t>
      </w:r>
      <w:r>
        <w:t>haupteten Behandlungsfehlers konfrontiert und wären die ents</w:t>
      </w:r>
      <w:r w:rsidR="007B54F9">
        <w:t>prechenden Krankenunterlagen in</w:t>
      </w:r>
      <w:r>
        <w:t xml:space="preserve">zwischen vernichtet, könnte dies zu erheblichen prozessualen Nachteilen für das Krankenhaus führen. </w:t>
      </w:r>
    </w:p>
    <w:p w:rsidR="007B54F9" w:rsidRDefault="007B54F9" w:rsidP="00B23799">
      <w:pPr>
        <w:jc w:val="both"/>
      </w:pPr>
    </w:p>
    <w:p w:rsidR="007B54F9" w:rsidRDefault="0089666B" w:rsidP="00B23799">
      <w:pPr>
        <w:jc w:val="both"/>
      </w:pPr>
      <w:r>
        <w:t xml:space="preserve">Aus diesem Grunde wird Ihre Patientenakte bis zu 30 Jahre lang aufbewahrt. </w:t>
      </w:r>
    </w:p>
    <w:p w:rsidR="007B54F9" w:rsidRDefault="007B54F9" w:rsidP="0089666B"/>
    <w:p w:rsidR="007B54F9" w:rsidRPr="007B54F9" w:rsidRDefault="0089666B" w:rsidP="0089666B">
      <w:pPr>
        <w:rPr>
          <w:b/>
        </w:rPr>
      </w:pPr>
      <w:r w:rsidRPr="007B54F9">
        <w:rPr>
          <w:b/>
        </w:rPr>
        <w:t xml:space="preserve">Recht auf Auskunft, Berichtigung, Löschung usw. </w:t>
      </w:r>
    </w:p>
    <w:p w:rsidR="007B54F9" w:rsidRDefault="007B54F9" w:rsidP="0089666B"/>
    <w:p w:rsidR="000266FC" w:rsidRDefault="0089666B" w:rsidP="00B23799">
      <w:pPr>
        <w:jc w:val="both"/>
      </w:pPr>
      <w:r>
        <w:t>Ihnen stehen sog. Betroffenenrechte zu, d.h. Rechte, die Sie als im Einzelfall betroffene Person ausüben können. Diese Rechte können Sie gegenüber dem Krankenhausträger gelten machen. Sie ergeben sich aus der EU Datenschutz-Grundverordnung (DS-GVO)</w:t>
      </w:r>
      <w:r w:rsidR="00FB38B7">
        <w:t>.</w:t>
      </w:r>
    </w:p>
    <w:p w:rsidR="000266FC" w:rsidRDefault="000266FC" w:rsidP="00B23799">
      <w:pPr>
        <w:jc w:val="both"/>
      </w:pPr>
    </w:p>
    <w:p w:rsidR="000266FC" w:rsidRPr="000266FC" w:rsidRDefault="0089666B" w:rsidP="00B23799">
      <w:pPr>
        <w:jc w:val="both"/>
        <w:rPr>
          <w:u w:val="single"/>
        </w:rPr>
      </w:pPr>
      <w:r w:rsidRPr="000266FC">
        <w:rPr>
          <w:u w:val="single"/>
        </w:rPr>
        <w:t xml:space="preserve">- Recht auf Auskunft, Art. 15 DS-GVO </w:t>
      </w:r>
    </w:p>
    <w:p w:rsidR="00E265B6" w:rsidRDefault="0089666B" w:rsidP="00B23799">
      <w:pPr>
        <w:jc w:val="both"/>
      </w:pPr>
      <w:r>
        <w:t xml:space="preserve">Sie haben das Recht auf Auskunft über die Sie betreffenden gespeicherten personenbezogenen Daten. </w:t>
      </w:r>
    </w:p>
    <w:p w:rsidR="00E265B6" w:rsidRDefault="00E265B6" w:rsidP="00B23799">
      <w:pPr>
        <w:jc w:val="both"/>
      </w:pPr>
    </w:p>
    <w:p w:rsidR="00E265B6" w:rsidRPr="00E265B6" w:rsidRDefault="0089666B" w:rsidP="00B23799">
      <w:pPr>
        <w:jc w:val="both"/>
        <w:rPr>
          <w:u w:val="single"/>
        </w:rPr>
      </w:pPr>
      <w:r w:rsidRPr="00E265B6">
        <w:rPr>
          <w:u w:val="single"/>
        </w:rPr>
        <w:t xml:space="preserve">- Recht auf Berichtigung, Art. 16 DS-GVO </w:t>
      </w:r>
    </w:p>
    <w:p w:rsidR="000266FC" w:rsidRDefault="0089666B" w:rsidP="00B23799">
      <w:pPr>
        <w:jc w:val="both"/>
      </w:pPr>
      <w:r>
        <w:t>Wenn Sie feststellen, dass unrichtige Daten zu Ihrer Person verarb</w:t>
      </w:r>
      <w:r w:rsidR="00DE2DDA">
        <w:t>eitet werden, können Sie Berich</w:t>
      </w:r>
      <w:r>
        <w:t xml:space="preserve">tigung verlangen. Unvollständige Daten müssen unter Berücksichtigung des Zwecks der Verarbeitung vervollständigt werden. </w:t>
      </w:r>
    </w:p>
    <w:p w:rsidR="000266FC" w:rsidRDefault="000266FC" w:rsidP="00B23799">
      <w:pPr>
        <w:jc w:val="both"/>
      </w:pPr>
    </w:p>
    <w:p w:rsidR="00DE2DDA" w:rsidRDefault="00DE2DDA" w:rsidP="00B23799">
      <w:pPr>
        <w:jc w:val="both"/>
      </w:pPr>
      <w:r>
        <w:rPr>
          <w:u w:val="single"/>
        </w:rPr>
        <w:t xml:space="preserve">- </w:t>
      </w:r>
      <w:r w:rsidR="0089666B" w:rsidRPr="00DE2DDA">
        <w:rPr>
          <w:u w:val="single"/>
        </w:rPr>
        <w:t xml:space="preserve">Recht auf Löschung, Art. 17 DS-GVO </w:t>
      </w:r>
    </w:p>
    <w:p w:rsidR="00DE2DDA" w:rsidRDefault="0089666B" w:rsidP="00B23799">
      <w:pPr>
        <w:jc w:val="both"/>
      </w:pPr>
      <w:r>
        <w:t>Sie haben das Recht, die Löschung Ihrer Daten zu verlangen,</w:t>
      </w:r>
      <w:r w:rsidR="00DE2DDA">
        <w:t xml:space="preserve"> wenn bestimmte Löschgründe vor</w:t>
      </w:r>
      <w:r>
        <w:t xml:space="preserve">liegen. Dies ist insbesondere der Fall, wenn diese zu dem Zweck, zu dem sie ursprünglich erhoben oder verarbeitet wurden, nicht mehr erforderlich sind. </w:t>
      </w:r>
    </w:p>
    <w:p w:rsidR="00DE2DDA" w:rsidRDefault="00DE2DDA" w:rsidP="00B23799">
      <w:pPr>
        <w:jc w:val="both"/>
      </w:pPr>
    </w:p>
    <w:p w:rsidR="00DE2DDA" w:rsidRPr="00DE2DDA" w:rsidRDefault="0089666B" w:rsidP="00B23799">
      <w:pPr>
        <w:jc w:val="both"/>
        <w:rPr>
          <w:u w:val="single"/>
        </w:rPr>
      </w:pPr>
      <w:r w:rsidRPr="00DE2DDA">
        <w:rPr>
          <w:u w:val="single"/>
        </w:rPr>
        <w:t xml:space="preserve">- Recht auf Einschränkung der Verarbeitung, Art. 18 DS-GVO </w:t>
      </w:r>
    </w:p>
    <w:p w:rsidR="00D53350" w:rsidRDefault="0089666B" w:rsidP="00B23799">
      <w:pPr>
        <w:jc w:val="both"/>
      </w:pPr>
      <w:r>
        <w:t>Sie haben das Recht auf Einschränkung der Verarbeitung Ihrer Daten. Dies bedeutet, dass Ihre Daten zwar nicht gelöscht, aber gekennzeichnet werden, um ihr</w:t>
      </w:r>
      <w:r w:rsidR="00D53350">
        <w:t>e weitere Verarbeitung oder Nut</w:t>
      </w:r>
      <w:r>
        <w:t xml:space="preserve">zung einzuschränken. </w:t>
      </w:r>
    </w:p>
    <w:p w:rsidR="00D53350" w:rsidRDefault="00D53350" w:rsidP="00B23799">
      <w:pPr>
        <w:jc w:val="both"/>
      </w:pPr>
    </w:p>
    <w:p w:rsidR="009F7868" w:rsidRDefault="0089666B" w:rsidP="00B23799">
      <w:pPr>
        <w:jc w:val="both"/>
      </w:pPr>
      <w:r w:rsidRPr="00D53350">
        <w:rPr>
          <w:u w:val="single"/>
        </w:rPr>
        <w:t xml:space="preserve">- Recht auf Widerspruch gegen unzumutbare Datenverarbeitung, Art. 21 DS-GVO </w:t>
      </w:r>
      <w:r w:rsidR="00FB38B7">
        <w:rPr>
          <w:u w:val="single"/>
        </w:rPr>
        <w:br/>
      </w:r>
      <w:r>
        <w:t>Sie haben grundsätzlich ein allgemeines Widerspruchsrecht au</w:t>
      </w:r>
      <w:r w:rsidR="00D53350">
        <w:t>ch gegen rechtmäßige Datenverar</w:t>
      </w:r>
      <w:r>
        <w:t xml:space="preserve">beitungen, die im öffentlichen Interesse liegen, in Ausübung öffentlicher Gewalt oder aufgrund des berechtigten Interesses einer Stelle erfolgen. </w:t>
      </w:r>
    </w:p>
    <w:p w:rsidR="009F7868" w:rsidRPr="009F7868" w:rsidRDefault="009F7868" w:rsidP="0089666B">
      <w:pPr>
        <w:rPr>
          <w:b/>
        </w:rPr>
      </w:pPr>
    </w:p>
    <w:p w:rsidR="009F7868" w:rsidRPr="009F7868" w:rsidRDefault="0089666B" w:rsidP="0089666B">
      <w:pPr>
        <w:rPr>
          <w:b/>
        </w:rPr>
      </w:pPr>
      <w:r w:rsidRPr="009F7868">
        <w:rPr>
          <w:b/>
        </w:rPr>
        <w:t xml:space="preserve">Beschwerde bei der Aufsichtsbehörde wegen Datenschutzverstößen </w:t>
      </w:r>
    </w:p>
    <w:p w:rsidR="009F7868" w:rsidRDefault="009F7868" w:rsidP="0089666B"/>
    <w:p w:rsidR="009F7868" w:rsidRDefault="0089666B" w:rsidP="00B23799">
      <w:pPr>
        <w:jc w:val="both"/>
      </w:pPr>
      <w:r>
        <w:t>Unabhängig davon, dass es Ihnen auch freisteht, gerichtliche Hilfe in Anspruch zu nehmen, haben Sie das Recht auf Beschwerde bei einer Aufsichtsbehörde, wenn Sie der Ansicht sind, dass die Verarbeitung Ihrer Daten datenschutzrechtlich nicht zulässig ist. Dies ergibt sich aus Art. 77 EU Datenschutz-Grundverordnung</w:t>
      </w:r>
      <w:r w:rsidR="00FB38B7">
        <w:t>.</w:t>
      </w:r>
      <w:r>
        <w:t xml:space="preserve"> Die Beschwerde bei der Aufsichtsbehörde kann formlos erfolgen. </w:t>
      </w:r>
    </w:p>
    <w:p w:rsidR="009F7868" w:rsidRDefault="009F7868" w:rsidP="0089666B"/>
    <w:p w:rsidR="009F7868" w:rsidRPr="009F7868" w:rsidRDefault="0089666B" w:rsidP="0089666B">
      <w:pPr>
        <w:rPr>
          <w:b/>
        </w:rPr>
      </w:pPr>
      <w:r w:rsidRPr="009F7868">
        <w:rPr>
          <w:b/>
        </w:rPr>
        <w:t xml:space="preserve">Datenschutzbeauftragter des Krankenhauses </w:t>
      </w:r>
    </w:p>
    <w:p w:rsidR="009F7868" w:rsidRDefault="009F7868" w:rsidP="0089666B"/>
    <w:p w:rsidR="00CE2E22" w:rsidRDefault="0089666B" w:rsidP="00B23799">
      <w:pPr>
        <w:jc w:val="both"/>
      </w:pPr>
      <w:r>
        <w:t xml:space="preserve">Der Krankenhausträger hat einen Datenschutzbeauftragten bestellt. Seine Kontaktdaten lauten wie folgt: </w:t>
      </w:r>
    </w:p>
    <w:p w:rsidR="00CE2E22" w:rsidRDefault="00CE2E22" w:rsidP="00B23799">
      <w:pPr>
        <w:jc w:val="both"/>
      </w:pPr>
    </w:p>
    <w:p w:rsidR="00CE2E22" w:rsidRDefault="00CE2E22" w:rsidP="00B23799">
      <w:pPr>
        <w:jc w:val="both"/>
      </w:pPr>
      <w:r>
        <w:t>Frau Silvana Stragapede</w:t>
      </w:r>
      <w:r w:rsidR="0089666B">
        <w:t xml:space="preserve"> </w:t>
      </w:r>
    </w:p>
    <w:p w:rsidR="00CE2E22" w:rsidRDefault="0089666B" w:rsidP="00B23799">
      <w:pPr>
        <w:jc w:val="both"/>
      </w:pPr>
      <w:r>
        <w:t xml:space="preserve">Telefon: </w:t>
      </w:r>
      <w:r w:rsidR="0049784C">
        <w:t>069 7601 3779</w:t>
      </w:r>
      <w:r>
        <w:t xml:space="preserve"> </w:t>
      </w:r>
    </w:p>
    <w:p w:rsidR="0049784C" w:rsidRDefault="0089666B" w:rsidP="00B23799">
      <w:pPr>
        <w:jc w:val="both"/>
      </w:pPr>
      <w:r>
        <w:t xml:space="preserve">E-Mail: </w:t>
      </w:r>
      <w:r w:rsidR="00F70A89">
        <w:t>datenschutz@sthhg.de</w:t>
      </w:r>
    </w:p>
    <w:p w:rsidR="00CE2E22" w:rsidRDefault="00CE2E22" w:rsidP="00B23799">
      <w:pPr>
        <w:jc w:val="both"/>
      </w:pPr>
    </w:p>
    <w:p w:rsidR="00CE2E22" w:rsidRDefault="00CE2E22" w:rsidP="00B23799">
      <w:pPr>
        <w:jc w:val="both"/>
      </w:pPr>
    </w:p>
    <w:p w:rsidR="00CE2E22" w:rsidRDefault="00CE2E22" w:rsidP="00B23799">
      <w:pPr>
        <w:jc w:val="both"/>
      </w:pPr>
    </w:p>
    <w:p w:rsidR="0089666B" w:rsidRDefault="0049784C" w:rsidP="00B23799">
      <w:pPr>
        <w:jc w:val="both"/>
      </w:pPr>
      <w:r>
        <w:t>Für weitere Fragen stehen wir Ihnen gerne zur Verfügung.</w:t>
      </w:r>
    </w:p>
    <w:p w:rsidR="005979AA" w:rsidRPr="000034F7" w:rsidRDefault="005979AA" w:rsidP="005979AA">
      <w:pPr>
        <w:autoSpaceDE w:val="0"/>
        <w:autoSpaceDN w:val="0"/>
        <w:adjustRightInd w:val="0"/>
        <w:rPr>
          <w:rFonts w:cs="Arial"/>
          <w:sz w:val="20"/>
          <w:szCs w:val="20"/>
        </w:rPr>
      </w:pPr>
    </w:p>
    <w:sectPr w:rsidR="005979AA" w:rsidRPr="000034F7" w:rsidSect="00DB49A8">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1134"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C76" w:rsidRDefault="007C6C76">
      <w:r>
        <w:separator/>
      </w:r>
    </w:p>
  </w:endnote>
  <w:endnote w:type="continuationSeparator" w:id="0">
    <w:p w:rsidR="007C6C76" w:rsidRDefault="007C6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AA9" w:rsidRDefault="00084AA9">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621"/>
      <w:gridCol w:w="2621"/>
      <w:gridCol w:w="2621"/>
      <w:gridCol w:w="2622"/>
    </w:tblGrid>
    <w:tr w:rsidR="00B401D4" w:rsidTr="00F15ADC">
      <w:trPr>
        <w:trHeight w:hRule="exact" w:val="163"/>
        <w:jc w:val="center"/>
      </w:trPr>
      <w:tc>
        <w:tcPr>
          <w:tcW w:w="2621" w:type="dxa"/>
          <w:tcBorders>
            <w:top w:val="single" w:sz="4" w:space="0" w:color="auto"/>
            <w:left w:val="single" w:sz="4" w:space="0" w:color="auto"/>
            <w:bottom w:val="single" w:sz="4" w:space="0" w:color="auto"/>
            <w:right w:val="single" w:sz="4" w:space="0" w:color="auto"/>
          </w:tcBorders>
        </w:tcPr>
        <w:p w:rsidR="00F15ADC" w:rsidRDefault="006D2B9C" w:rsidP="00104B5E">
          <w:pPr>
            <w:pStyle w:val="Fuzeile"/>
            <w:rPr>
              <w:sz w:val="12"/>
              <w:szCs w:val="12"/>
            </w:rPr>
          </w:pPr>
          <w:r>
            <w:rPr>
              <w:sz w:val="12"/>
              <w:szCs w:val="12"/>
            </w:rPr>
            <w:t>Ausgebender Bereich</w:t>
          </w:r>
        </w:p>
      </w:tc>
      <w:tc>
        <w:tcPr>
          <w:tcW w:w="2621" w:type="dxa"/>
          <w:tcBorders>
            <w:top w:val="single" w:sz="4" w:space="0" w:color="auto"/>
            <w:left w:val="single" w:sz="4" w:space="0" w:color="auto"/>
            <w:bottom w:val="single" w:sz="4" w:space="0" w:color="auto"/>
            <w:right w:val="single" w:sz="4" w:space="0" w:color="auto"/>
          </w:tcBorders>
          <w:hideMark/>
        </w:tcPr>
        <w:p w:rsidR="00F15ADC" w:rsidRDefault="006D2B9C" w:rsidP="00104B5E">
          <w:pPr>
            <w:pStyle w:val="Fuzeile"/>
            <w:rPr>
              <w:sz w:val="12"/>
              <w:szCs w:val="12"/>
            </w:rPr>
          </w:pPr>
          <w:r>
            <w:rPr>
              <w:sz w:val="12"/>
              <w:szCs w:val="12"/>
            </w:rPr>
            <w:t>Erstellung</w:t>
          </w:r>
          <w:r w:rsidR="00B3644F">
            <w:rPr>
              <w:sz w:val="12"/>
              <w:szCs w:val="12"/>
            </w:rPr>
            <w:t xml:space="preserve"> Marx</w:t>
          </w:r>
        </w:p>
      </w:tc>
      <w:tc>
        <w:tcPr>
          <w:tcW w:w="2621" w:type="dxa"/>
          <w:tcBorders>
            <w:top w:val="single" w:sz="4" w:space="0" w:color="auto"/>
            <w:left w:val="single" w:sz="4" w:space="0" w:color="auto"/>
            <w:bottom w:val="single" w:sz="4" w:space="0" w:color="auto"/>
            <w:right w:val="single" w:sz="4" w:space="0" w:color="auto"/>
          </w:tcBorders>
          <w:hideMark/>
        </w:tcPr>
        <w:p w:rsidR="00F15ADC" w:rsidRDefault="006D2B9C" w:rsidP="00104B5E">
          <w:pPr>
            <w:pStyle w:val="Fuzeile"/>
            <w:rPr>
              <w:sz w:val="12"/>
              <w:szCs w:val="12"/>
            </w:rPr>
          </w:pPr>
          <w:r>
            <w:rPr>
              <w:sz w:val="12"/>
              <w:szCs w:val="12"/>
            </w:rPr>
            <w:t>Freigabe</w:t>
          </w:r>
          <w:r w:rsidR="00E36559">
            <w:rPr>
              <w:sz w:val="12"/>
              <w:szCs w:val="12"/>
            </w:rPr>
            <w:t xml:space="preserve"> Stragapede </w:t>
          </w:r>
        </w:p>
      </w:tc>
      <w:tc>
        <w:tcPr>
          <w:tcW w:w="2622" w:type="dxa"/>
          <w:tcBorders>
            <w:top w:val="single" w:sz="4" w:space="0" w:color="auto"/>
            <w:left w:val="single" w:sz="4" w:space="0" w:color="auto"/>
            <w:bottom w:val="single" w:sz="4" w:space="0" w:color="auto"/>
            <w:right w:val="single" w:sz="4" w:space="0" w:color="auto"/>
          </w:tcBorders>
          <w:hideMark/>
        </w:tcPr>
        <w:p w:rsidR="00F15ADC" w:rsidRDefault="006D2B9C" w:rsidP="00104B5E">
          <w:pPr>
            <w:pStyle w:val="Fuzeile"/>
            <w:rPr>
              <w:sz w:val="12"/>
              <w:szCs w:val="12"/>
            </w:rPr>
          </w:pPr>
          <w:r>
            <w:rPr>
              <w:sz w:val="12"/>
              <w:szCs w:val="12"/>
            </w:rPr>
            <w:t>Version</w:t>
          </w:r>
          <w:r w:rsidR="00B3644F">
            <w:rPr>
              <w:sz w:val="12"/>
              <w:szCs w:val="12"/>
            </w:rPr>
            <w:t xml:space="preserve"> 01</w:t>
          </w:r>
        </w:p>
      </w:tc>
    </w:tr>
    <w:tr w:rsidR="00B401D4" w:rsidTr="007B38AC">
      <w:trPr>
        <w:trHeight w:hRule="exact" w:val="163"/>
        <w:jc w:val="center"/>
      </w:trPr>
      <w:tc>
        <w:tcPr>
          <w:tcW w:w="2621" w:type="dxa"/>
          <w:vMerge w:val="restart"/>
          <w:tcBorders>
            <w:top w:val="single" w:sz="4" w:space="0" w:color="auto"/>
            <w:left w:val="single" w:sz="4" w:space="0" w:color="auto"/>
            <w:right w:val="single" w:sz="4" w:space="0" w:color="auto"/>
          </w:tcBorders>
        </w:tcPr>
        <w:p w:rsidR="00F15ADC" w:rsidRDefault="006D2B9C" w:rsidP="00CF1E1E">
          <w:pPr>
            <w:pStyle w:val="Fuzeile"/>
            <w:rPr>
              <w:sz w:val="12"/>
              <w:szCs w:val="12"/>
              <w:lang w:val="en-US"/>
            </w:rPr>
          </w:pPr>
          <w:r>
            <w:rPr>
              <w:sz w:val="12"/>
              <w:szCs w:val="12"/>
              <w:lang w:val="en-US"/>
            </w:rPr>
            <w:fldChar w:fldCharType="begin"/>
          </w:r>
          <w:r>
            <w:rPr>
              <w:sz w:val="12"/>
              <w:szCs w:val="12"/>
              <w:lang w:val="en-US"/>
            </w:rPr>
            <w:instrText xml:space="preserve"> DOCPROPERTY rox_Ausgebenderbereich \* MERGEFORMAT </w:instrText>
          </w:r>
          <w:r>
            <w:rPr>
              <w:sz w:val="12"/>
              <w:szCs w:val="12"/>
              <w:lang w:val="en-US"/>
            </w:rPr>
            <w:fldChar w:fldCharType="end"/>
          </w:r>
        </w:p>
      </w:tc>
      <w:tc>
        <w:tcPr>
          <w:tcW w:w="2621" w:type="dxa"/>
          <w:tcBorders>
            <w:top w:val="single" w:sz="4" w:space="0" w:color="auto"/>
            <w:left w:val="single" w:sz="4" w:space="0" w:color="auto"/>
            <w:bottom w:val="single" w:sz="4" w:space="0" w:color="auto"/>
            <w:right w:val="single" w:sz="4" w:space="0" w:color="auto"/>
          </w:tcBorders>
        </w:tcPr>
        <w:p w:rsidR="00F15ADC" w:rsidRDefault="006D2B9C" w:rsidP="00E36559">
          <w:pPr>
            <w:pStyle w:val="Fuzeile"/>
            <w:rPr>
              <w:sz w:val="12"/>
              <w:szCs w:val="12"/>
              <w:lang w:val="en-US"/>
            </w:rPr>
          </w:pPr>
          <w:r>
            <w:rPr>
              <w:sz w:val="12"/>
              <w:szCs w:val="12"/>
              <w:lang w:val="en-US"/>
            </w:rPr>
            <w:t>von:</w:t>
          </w:r>
          <w:r w:rsidR="00CC5580">
            <w:rPr>
              <w:sz w:val="12"/>
              <w:szCs w:val="12"/>
              <w:lang w:val="en-US"/>
            </w:rPr>
            <w:t xml:space="preserve"> </w:t>
          </w:r>
          <w:r w:rsidR="00E36559">
            <w:rPr>
              <w:sz w:val="12"/>
              <w:szCs w:val="12"/>
              <w:lang w:val="en-US"/>
            </w:rPr>
            <w:t>18.07.2022</w:t>
          </w:r>
          <w:r w:rsidR="00CC5580">
            <w:rPr>
              <w:sz w:val="12"/>
              <w:szCs w:val="12"/>
              <w:lang w:val="en-US"/>
            </w:rPr>
            <w:fldChar w:fldCharType="begin"/>
          </w:r>
          <w:r w:rsidR="00CC5580">
            <w:rPr>
              <w:sz w:val="12"/>
              <w:szCs w:val="12"/>
              <w:lang w:val="en-US"/>
            </w:rPr>
            <w:instrText xml:space="preserve"> DOCPROPERTY rox_step_bearbeitung_u \* MERGEFORMAT </w:instrText>
          </w:r>
          <w:r w:rsidR="00CC5580">
            <w:rPr>
              <w:sz w:val="12"/>
              <w:szCs w:val="12"/>
              <w:lang w:val="en-US"/>
            </w:rPr>
            <w:fldChar w:fldCharType="end"/>
          </w:r>
        </w:p>
      </w:tc>
      <w:tc>
        <w:tcPr>
          <w:tcW w:w="2621" w:type="dxa"/>
          <w:tcBorders>
            <w:top w:val="single" w:sz="4" w:space="0" w:color="auto"/>
            <w:left w:val="single" w:sz="4" w:space="0" w:color="auto"/>
            <w:bottom w:val="single" w:sz="4" w:space="0" w:color="auto"/>
            <w:right w:val="single" w:sz="4" w:space="0" w:color="auto"/>
          </w:tcBorders>
        </w:tcPr>
        <w:p w:rsidR="00F15ADC" w:rsidRDefault="006D2B9C" w:rsidP="00E36559">
          <w:pPr>
            <w:pStyle w:val="Fuzeile"/>
            <w:rPr>
              <w:sz w:val="12"/>
              <w:szCs w:val="12"/>
            </w:rPr>
          </w:pPr>
          <w:r>
            <w:rPr>
              <w:sz w:val="12"/>
              <w:szCs w:val="12"/>
            </w:rPr>
            <w:t xml:space="preserve">von: </w:t>
          </w:r>
          <w:r>
            <w:rPr>
              <w:sz w:val="12"/>
              <w:szCs w:val="12"/>
            </w:rPr>
            <w:fldChar w:fldCharType="begin"/>
          </w:r>
          <w:r>
            <w:rPr>
              <w:sz w:val="12"/>
              <w:szCs w:val="12"/>
            </w:rPr>
            <w:instrText xml:space="preserve"> DOCPROPERTY rox_step_pruefung_u \* MERGEFORMAT </w:instrText>
          </w:r>
          <w:r>
            <w:rPr>
              <w:sz w:val="12"/>
              <w:szCs w:val="12"/>
            </w:rPr>
            <w:fldChar w:fldCharType="end"/>
          </w:r>
        </w:p>
      </w:tc>
      <w:tc>
        <w:tcPr>
          <w:tcW w:w="2622" w:type="dxa"/>
          <w:tcBorders>
            <w:top w:val="single" w:sz="4" w:space="0" w:color="auto"/>
            <w:left w:val="single" w:sz="4" w:space="0" w:color="auto"/>
            <w:bottom w:val="single" w:sz="4" w:space="0" w:color="auto"/>
            <w:right w:val="single" w:sz="4" w:space="0" w:color="auto"/>
          </w:tcBorders>
          <w:hideMark/>
        </w:tcPr>
        <w:p w:rsidR="00F15ADC" w:rsidRDefault="006D2B9C" w:rsidP="00E36559">
          <w:pPr>
            <w:pStyle w:val="Fuzeile"/>
            <w:rPr>
              <w:sz w:val="12"/>
              <w:szCs w:val="12"/>
            </w:rPr>
          </w:pPr>
          <w:r>
            <w:rPr>
              <w:sz w:val="12"/>
              <w:szCs w:val="12"/>
            </w:rPr>
            <w:t xml:space="preserve">Nr.: </w:t>
          </w:r>
          <w:r>
            <w:rPr>
              <w:sz w:val="12"/>
              <w:szCs w:val="12"/>
            </w:rPr>
            <w:fldChar w:fldCharType="begin"/>
          </w:r>
          <w:r>
            <w:rPr>
              <w:sz w:val="12"/>
              <w:szCs w:val="12"/>
            </w:rPr>
            <w:instrText xml:space="preserve"> DOCPROPERTY rox_Revision \* MERGEFORMAT </w:instrText>
          </w:r>
          <w:r>
            <w:rPr>
              <w:sz w:val="12"/>
              <w:szCs w:val="12"/>
            </w:rPr>
            <w:fldChar w:fldCharType="end"/>
          </w:r>
        </w:p>
      </w:tc>
    </w:tr>
    <w:tr w:rsidR="00B401D4" w:rsidTr="007B38AC">
      <w:trPr>
        <w:trHeight w:hRule="exact" w:val="163"/>
        <w:jc w:val="center"/>
      </w:trPr>
      <w:tc>
        <w:tcPr>
          <w:tcW w:w="2621" w:type="dxa"/>
          <w:vMerge/>
          <w:tcBorders>
            <w:left w:val="single" w:sz="4" w:space="0" w:color="auto"/>
            <w:bottom w:val="single" w:sz="4" w:space="0" w:color="auto"/>
            <w:right w:val="single" w:sz="4" w:space="0" w:color="auto"/>
          </w:tcBorders>
        </w:tcPr>
        <w:p w:rsidR="00F15ADC" w:rsidRDefault="00F15ADC" w:rsidP="00104B5E">
          <w:pPr>
            <w:pStyle w:val="Fuzeile"/>
            <w:rPr>
              <w:sz w:val="12"/>
              <w:szCs w:val="12"/>
            </w:rPr>
          </w:pPr>
        </w:p>
      </w:tc>
      <w:tc>
        <w:tcPr>
          <w:tcW w:w="2621" w:type="dxa"/>
          <w:tcBorders>
            <w:top w:val="single" w:sz="4" w:space="0" w:color="auto"/>
            <w:left w:val="single" w:sz="4" w:space="0" w:color="auto"/>
            <w:bottom w:val="single" w:sz="4" w:space="0" w:color="auto"/>
            <w:right w:val="single" w:sz="4" w:space="0" w:color="auto"/>
          </w:tcBorders>
        </w:tcPr>
        <w:p w:rsidR="00F15ADC" w:rsidRDefault="006D2B9C" w:rsidP="00CC5580">
          <w:pPr>
            <w:pStyle w:val="Fuzeile"/>
            <w:rPr>
              <w:sz w:val="12"/>
              <w:szCs w:val="12"/>
            </w:rPr>
          </w:pPr>
          <w:r>
            <w:rPr>
              <w:sz w:val="12"/>
              <w:szCs w:val="12"/>
            </w:rPr>
            <w:t>am:</w:t>
          </w:r>
          <w:r w:rsidR="00CC5580">
            <w:rPr>
              <w:sz w:val="12"/>
              <w:szCs w:val="12"/>
            </w:rPr>
            <w:t xml:space="preserve"> </w:t>
          </w:r>
          <w:r w:rsidR="00E36559">
            <w:rPr>
              <w:sz w:val="12"/>
              <w:szCs w:val="12"/>
            </w:rPr>
            <w:t>18</w:t>
          </w:r>
          <w:r w:rsidR="00B3644F">
            <w:rPr>
              <w:sz w:val="12"/>
              <w:szCs w:val="12"/>
            </w:rPr>
            <w:t>.07.2022</w:t>
          </w:r>
          <w:r w:rsidR="00CC5580">
            <w:rPr>
              <w:sz w:val="12"/>
              <w:szCs w:val="12"/>
            </w:rPr>
            <w:fldChar w:fldCharType="begin"/>
          </w:r>
          <w:r w:rsidR="00CC5580">
            <w:rPr>
              <w:sz w:val="12"/>
              <w:szCs w:val="12"/>
            </w:rPr>
            <w:instrText xml:space="preserve"> DOCPROPERTY rox_step_bearbeitung_d \* MERGEFORMAT </w:instrText>
          </w:r>
          <w:r w:rsidR="00CC5580">
            <w:rPr>
              <w:sz w:val="12"/>
              <w:szCs w:val="12"/>
            </w:rPr>
            <w:fldChar w:fldCharType="end"/>
          </w:r>
        </w:p>
      </w:tc>
      <w:tc>
        <w:tcPr>
          <w:tcW w:w="2621" w:type="dxa"/>
          <w:tcBorders>
            <w:top w:val="single" w:sz="4" w:space="0" w:color="auto"/>
            <w:left w:val="single" w:sz="4" w:space="0" w:color="auto"/>
            <w:bottom w:val="single" w:sz="4" w:space="0" w:color="auto"/>
            <w:right w:val="single" w:sz="4" w:space="0" w:color="auto"/>
          </w:tcBorders>
        </w:tcPr>
        <w:p w:rsidR="00F15ADC" w:rsidRDefault="006D2B9C" w:rsidP="00E36559">
          <w:pPr>
            <w:pStyle w:val="Fuzeile"/>
            <w:rPr>
              <w:sz w:val="12"/>
              <w:szCs w:val="12"/>
            </w:rPr>
          </w:pPr>
          <w:r>
            <w:rPr>
              <w:sz w:val="12"/>
              <w:szCs w:val="12"/>
            </w:rPr>
            <w:t xml:space="preserve">am: </w:t>
          </w:r>
          <w:r>
            <w:rPr>
              <w:sz w:val="12"/>
              <w:szCs w:val="12"/>
            </w:rPr>
            <w:fldChar w:fldCharType="begin"/>
          </w:r>
          <w:r>
            <w:rPr>
              <w:sz w:val="12"/>
              <w:szCs w:val="12"/>
            </w:rPr>
            <w:instrText xml:space="preserve"> DOCPROPERTY rox_step_pruefung_d \* MERGEFORMAT </w:instrText>
          </w:r>
          <w:r>
            <w:rPr>
              <w:sz w:val="12"/>
              <w:szCs w:val="12"/>
            </w:rPr>
            <w:fldChar w:fldCharType="end"/>
          </w:r>
        </w:p>
      </w:tc>
      <w:tc>
        <w:tcPr>
          <w:tcW w:w="2622" w:type="dxa"/>
          <w:tcBorders>
            <w:top w:val="single" w:sz="4" w:space="0" w:color="auto"/>
            <w:left w:val="single" w:sz="4" w:space="0" w:color="auto"/>
            <w:bottom w:val="single" w:sz="4" w:space="0" w:color="auto"/>
            <w:right w:val="single" w:sz="4" w:space="0" w:color="auto"/>
          </w:tcBorders>
        </w:tcPr>
        <w:p w:rsidR="00F15ADC" w:rsidRDefault="006D2B9C" w:rsidP="00104B5E">
          <w:pPr>
            <w:pStyle w:val="Fuzeile"/>
            <w:tabs>
              <w:tab w:val="left" w:pos="1260"/>
            </w:tabs>
            <w:rPr>
              <w:sz w:val="12"/>
              <w:szCs w:val="12"/>
            </w:rPr>
          </w:pPr>
          <w:r w:rsidRPr="009F52BE">
            <w:rPr>
              <w:sz w:val="12"/>
              <w:szCs w:val="12"/>
            </w:rPr>
            <w:t xml:space="preserve">Seite </w:t>
          </w:r>
          <w:r w:rsidRPr="009F52BE">
            <w:rPr>
              <w:b/>
              <w:sz w:val="12"/>
              <w:szCs w:val="12"/>
            </w:rPr>
            <w:fldChar w:fldCharType="begin"/>
          </w:r>
          <w:r w:rsidRPr="009F52BE">
            <w:rPr>
              <w:b/>
              <w:sz w:val="12"/>
              <w:szCs w:val="12"/>
            </w:rPr>
            <w:instrText>PAGE  \* Arabic  \* MERGEFORMAT</w:instrText>
          </w:r>
          <w:r w:rsidRPr="009F52BE">
            <w:rPr>
              <w:b/>
              <w:sz w:val="12"/>
              <w:szCs w:val="12"/>
            </w:rPr>
            <w:fldChar w:fldCharType="separate"/>
          </w:r>
          <w:r w:rsidR="00084AA9">
            <w:rPr>
              <w:b/>
              <w:noProof/>
              <w:sz w:val="12"/>
              <w:szCs w:val="12"/>
            </w:rPr>
            <w:t>1</w:t>
          </w:r>
          <w:r w:rsidRPr="009F52BE">
            <w:rPr>
              <w:b/>
              <w:sz w:val="12"/>
              <w:szCs w:val="12"/>
            </w:rPr>
            <w:fldChar w:fldCharType="end"/>
          </w:r>
          <w:r w:rsidRPr="009F52BE">
            <w:rPr>
              <w:sz w:val="12"/>
              <w:szCs w:val="12"/>
            </w:rPr>
            <w:t xml:space="preserve"> von </w:t>
          </w:r>
          <w:r w:rsidRPr="009F52BE">
            <w:rPr>
              <w:b/>
              <w:sz w:val="12"/>
              <w:szCs w:val="12"/>
            </w:rPr>
            <w:fldChar w:fldCharType="begin"/>
          </w:r>
          <w:r w:rsidRPr="009F52BE">
            <w:rPr>
              <w:b/>
              <w:sz w:val="12"/>
              <w:szCs w:val="12"/>
            </w:rPr>
            <w:instrText>NUMPAGES  \* Arabic  \* MERGEFORMAT</w:instrText>
          </w:r>
          <w:r w:rsidRPr="009F52BE">
            <w:rPr>
              <w:b/>
              <w:sz w:val="12"/>
              <w:szCs w:val="12"/>
            </w:rPr>
            <w:fldChar w:fldCharType="separate"/>
          </w:r>
          <w:r w:rsidR="00084AA9">
            <w:rPr>
              <w:b/>
              <w:noProof/>
              <w:sz w:val="12"/>
              <w:szCs w:val="12"/>
            </w:rPr>
            <w:t>5</w:t>
          </w:r>
          <w:r w:rsidRPr="009F52BE">
            <w:rPr>
              <w:b/>
              <w:sz w:val="12"/>
              <w:szCs w:val="12"/>
            </w:rPr>
            <w:fldChar w:fldCharType="end"/>
          </w:r>
        </w:p>
      </w:tc>
    </w:tr>
  </w:tbl>
  <w:p w:rsidR="00A06C35" w:rsidRPr="00A06C35" w:rsidRDefault="00A06C35" w:rsidP="00A06C35">
    <w:pPr>
      <w:pStyle w:val="Fuzeile"/>
      <w:rPr>
        <w:sz w:val="4"/>
        <w:szCs w:val="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AA9" w:rsidRDefault="00084AA9">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C76" w:rsidRDefault="007C6C76">
      <w:r>
        <w:separator/>
      </w:r>
    </w:p>
  </w:footnote>
  <w:footnote w:type="continuationSeparator" w:id="0">
    <w:p w:rsidR="007C6C76" w:rsidRDefault="007C6C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AA9" w:rsidRDefault="00084AA9">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7"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2462"/>
      <w:gridCol w:w="2835"/>
      <w:gridCol w:w="567"/>
      <w:gridCol w:w="1635"/>
      <w:gridCol w:w="2298"/>
    </w:tblGrid>
    <w:tr w:rsidR="00B401D4" w:rsidTr="00EC7C1F">
      <w:trPr>
        <w:trHeight w:val="255"/>
      </w:trPr>
      <w:tc>
        <w:tcPr>
          <w:tcW w:w="2462" w:type="dxa"/>
          <w:vMerge w:val="restart"/>
          <w:tcBorders>
            <w:top w:val="single" w:sz="4" w:space="0" w:color="auto"/>
            <w:left w:val="single" w:sz="4" w:space="0" w:color="auto"/>
            <w:bottom w:val="single" w:sz="4" w:space="0" w:color="auto"/>
            <w:right w:val="single" w:sz="4" w:space="0" w:color="auto"/>
          </w:tcBorders>
          <w:vAlign w:val="center"/>
          <w:hideMark/>
        </w:tcPr>
        <w:p w:rsidR="00EC7C1F" w:rsidRDefault="006D2B9C" w:rsidP="001D684A">
          <w:pPr>
            <w:pStyle w:val="Kopfzeile"/>
            <w:rPr>
              <w:sz w:val="20"/>
              <w:szCs w:val="20"/>
            </w:rPr>
          </w:pPr>
          <w:r w:rsidRPr="006C1DA9">
            <w:rPr>
              <w:noProof/>
              <w:sz w:val="20"/>
              <w:szCs w:val="20"/>
              <w:lang w:val="de-DE" w:eastAsia="de-DE"/>
            </w:rPr>
            <w:drawing>
              <wp:inline distT="0" distB="0" distL="0" distR="0">
                <wp:extent cx="1462308" cy="278296"/>
                <wp:effectExtent l="0" t="0" r="5080" b="7620"/>
                <wp:docPr id="2" name="Grafik 2" descr="P:\ZQMB-Team\Logos NEU Stand 12_11_2015\LOGOS-OfficePaket\LOGOS mit Schriftzug\3_krankenhaus_nordwest\khnw_jpg\Bearb_krankenhaus_nordwest_landscape_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ZQMB-Team\Logos NEU Stand 12_11_2015\LOGOS-OfficePaket\LOGOS mit Schriftzug\3_krankenhaus_nordwest\khnw_jpg\Bearb_krankenhaus_nordwest_landscape_screen.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93039" cy="303176"/>
                        </a:xfrm>
                        <a:prstGeom prst="rect">
                          <a:avLst/>
                        </a:prstGeom>
                        <a:noFill/>
                        <a:ln>
                          <a:noFill/>
                        </a:ln>
                      </pic:spPr>
                    </pic:pic>
                  </a:graphicData>
                </a:graphic>
              </wp:inline>
            </w:drawing>
          </w:r>
        </w:p>
      </w:tc>
      <w:tc>
        <w:tcPr>
          <w:tcW w:w="2835" w:type="dxa"/>
          <w:tcBorders>
            <w:top w:val="single" w:sz="4" w:space="0" w:color="auto"/>
            <w:left w:val="single" w:sz="4" w:space="0" w:color="auto"/>
            <w:bottom w:val="single" w:sz="4" w:space="0" w:color="auto"/>
            <w:right w:val="single" w:sz="4" w:space="0" w:color="auto"/>
          </w:tcBorders>
          <w:hideMark/>
        </w:tcPr>
        <w:p w:rsidR="00EC7C1F" w:rsidRPr="001D684A" w:rsidRDefault="006D2B9C" w:rsidP="00104B5E">
          <w:pPr>
            <w:pStyle w:val="Kopfzeile"/>
            <w:spacing w:before="60" w:after="60"/>
            <w:jc w:val="center"/>
            <w:rPr>
              <w:sz w:val="16"/>
              <w:szCs w:val="16"/>
              <w:lang w:val="de-DE"/>
            </w:rPr>
          </w:pPr>
          <w:r>
            <w:rPr>
              <w:sz w:val="16"/>
              <w:szCs w:val="16"/>
              <w:lang w:val="de-DE"/>
            </w:rPr>
            <w:fldChar w:fldCharType="begin"/>
          </w:r>
          <w:r>
            <w:rPr>
              <w:sz w:val="16"/>
              <w:szCs w:val="16"/>
              <w:lang w:val="de-DE"/>
            </w:rPr>
            <w:instrText xml:space="preserve"> DOCPROPERTY rox_DocType \* MERGEFORMAT </w:instrText>
          </w:r>
          <w:r>
            <w:rPr>
              <w:sz w:val="16"/>
              <w:szCs w:val="16"/>
              <w:lang w:val="de-DE"/>
            </w:rPr>
            <w:fldChar w:fldCharType="separate"/>
          </w:r>
          <w:r>
            <w:rPr>
              <w:sz w:val="16"/>
              <w:szCs w:val="16"/>
              <w:lang w:val="de-DE"/>
            </w:rPr>
            <w:t>Formular (FO)</w:t>
          </w:r>
          <w:r>
            <w:rPr>
              <w:sz w:val="16"/>
              <w:szCs w:val="16"/>
              <w:lang w:val="de-DE"/>
            </w:rPr>
            <w:fldChar w:fldCharType="end"/>
          </w:r>
        </w:p>
      </w:tc>
      <w:tc>
        <w:tcPr>
          <w:tcW w:w="567" w:type="dxa"/>
          <w:tcBorders>
            <w:top w:val="single" w:sz="4" w:space="0" w:color="auto"/>
            <w:left w:val="single" w:sz="4" w:space="0" w:color="auto"/>
            <w:bottom w:val="nil"/>
            <w:right w:val="nil"/>
          </w:tcBorders>
        </w:tcPr>
        <w:p w:rsidR="00EC7C1F" w:rsidRPr="001D684A" w:rsidRDefault="006D2B9C" w:rsidP="00EC7C1F">
          <w:pPr>
            <w:pStyle w:val="Kopfzeile"/>
            <w:spacing w:before="60" w:after="60"/>
            <w:jc w:val="right"/>
            <w:rPr>
              <w:sz w:val="16"/>
              <w:szCs w:val="16"/>
              <w:lang w:val="de-DE"/>
            </w:rPr>
          </w:pPr>
          <w:r>
            <w:rPr>
              <w:sz w:val="16"/>
              <w:szCs w:val="16"/>
              <w:lang w:val="de-DE"/>
            </w:rPr>
            <w:t>ID:</w:t>
          </w:r>
        </w:p>
      </w:tc>
      <w:tc>
        <w:tcPr>
          <w:tcW w:w="1635" w:type="dxa"/>
          <w:tcBorders>
            <w:top w:val="single" w:sz="4" w:space="0" w:color="auto"/>
            <w:left w:val="nil"/>
            <w:bottom w:val="nil"/>
            <w:right w:val="single" w:sz="4" w:space="0" w:color="auto"/>
          </w:tcBorders>
        </w:tcPr>
        <w:p w:rsidR="00EC7C1F" w:rsidRPr="001D684A" w:rsidRDefault="006D2B9C" w:rsidP="00EC7C1F">
          <w:pPr>
            <w:pStyle w:val="Kopfzeile"/>
            <w:spacing w:before="60" w:after="60"/>
            <w:rPr>
              <w:sz w:val="16"/>
              <w:szCs w:val="16"/>
              <w:lang w:val="de-DE"/>
            </w:rPr>
          </w:pPr>
          <w:r>
            <w:rPr>
              <w:sz w:val="16"/>
              <w:szCs w:val="16"/>
              <w:lang w:val="de-DE"/>
            </w:rPr>
            <w:fldChar w:fldCharType="begin"/>
          </w:r>
          <w:r>
            <w:rPr>
              <w:sz w:val="16"/>
              <w:szCs w:val="16"/>
              <w:lang w:val="de-DE"/>
            </w:rPr>
            <w:instrText xml:space="preserve"> DOCPROPERTY rox_ID \* MERGEFORMAT </w:instrText>
          </w:r>
          <w:r>
            <w:rPr>
              <w:sz w:val="16"/>
              <w:szCs w:val="16"/>
              <w:lang w:val="de-DE"/>
            </w:rPr>
            <w:fldChar w:fldCharType="separate"/>
          </w:r>
          <w:r>
            <w:rPr>
              <w:sz w:val="16"/>
              <w:szCs w:val="16"/>
              <w:lang w:val="de-DE"/>
            </w:rPr>
            <w:t>15034</w:t>
          </w:r>
          <w:r>
            <w:rPr>
              <w:sz w:val="16"/>
              <w:szCs w:val="16"/>
              <w:lang w:val="de-DE"/>
            </w:rPr>
            <w:fldChar w:fldCharType="end"/>
          </w:r>
        </w:p>
      </w:tc>
      <w:tc>
        <w:tcPr>
          <w:tcW w:w="2298" w:type="dxa"/>
          <w:tcBorders>
            <w:top w:val="single" w:sz="4" w:space="0" w:color="auto"/>
            <w:left w:val="single" w:sz="4" w:space="0" w:color="auto"/>
            <w:bottom w:val="nil"/>
            <w:right w:val="single" w:sz="4" w:space="0" w:color="auto"/>
          </w:tcBorders>
          <w:vAlign w:val="center"/>
          <w:hideMark/>
        </w:tcPr>
        <w:p w:rsidR="00EC7C1F" w:rsidRPr="00EC7C1F" w:rsidRDefault="006D2B9C" w:rsidP="001D684A">
          <w:pPr>
            <w:pStyle w:val="Kopfzeile"/>
            <w:rPr>
              <w:sz w:val="16"/>
              <w:szCs w:val="16"/>
              <w:lang w:val="de-DE"/>
            </w:rPr>
          </w:pPr>
          <w:r>
            <w:rPr>
              <w:sz w:val="16"/>
              <w:szCs w:val="16"/>
              <w:lang w:val="de-DE"/>
            </w:rPr>
            <w:t>Geltungsbereich</w:t>
          </w:r>
        </w:p>
      </w:tc>
    </w:tr>
    <w:tr w:rsidR="00B401D4" w:rsidTr="00EC7C1F">
      <w:trPr>
        <w:trHeight w:val="687"/>
      </w:trPr>
      <w:tc>
        <w:tcPr>
          <w:tcW w:w="2462" w:type="dxa"/>
          <w:vMerge/>
          <w:tcBorders>
            <w:top w:val="single" w:sz="4" w:space="0" w:color="auto"/>
            <w:left w:val="single" w:sz="4" w:space="0" w:color="auto"/>
            <w:bottom w:val="single" w:sz="4" w:space="0" w:color="auto"/>
            <w:right w:val="single" w:sz="4" w:space="0" w:color="auto"/>
          </w:tcBorders>
          <w:vAlign w:val="center"/>
          <w:hideMark/>
        </w:tcPr>
        <w:p w:rsidR="001D684A" w:rsidRDefault="001D684A" w:rsidP="00104B5E">
          <w:pPr>
            <w:rPr>
              <w:sz w:val="20"/>
              <w:szCs w:val="20"/>
            </w:rPr>
          </w:pPr>
        </w:p>
      </w:tc>
      <w:tc>
        <w:tcPr>
          <w:tcW w:w="5037" w:type="dxa"/>
          <w:gridSpan w:val="3"/>
          <w:tcBorders>
            <w:top w:val="single" w:sz="4" w:space="0" w:color="auto"/>
            <w:left w:val="single" w:sz="4" w:space="0" w:color="auto"/>
            <w:bottom w:val="single" w:sz="4" w:space="0" w:color="auto"/>
            <w:right w:val="single" w:sz="4" w:space="0" w:color="auto"/>
          </w:tcBorders>
          <w:vAlign w:val="center"/>
          <w:hideMark/>
        </w:tcPr>
        <w:p w:rsidR="001D684A" w:rsidRPr="001D684A" w:rsidRDefault="00E65789" w:rsidP="00104B5E">
          <w:pPr>
            <w:pStyle w:val="Kopfzeile"/>
            <w:jc w:val="center"/>
            <w:rPr>
              <w:b/>
              <w:sz w:val="20"/>
              <w:szCs w:val="20"/>
              <w:lang w:val="de-DE"/>
            </w:rPr>
          </w:pPr>
          <w:r>
            <w:rPr>
              <w:b/>
              <w:sz w:val="20"/>
              <w:szCs w:val="20"/>
              <w:lang w:val="de-DE"/>
            </w:rPr>
            <w:t>Informationspflichten</w:t>
          </w:r>
          <w:bookmarkStart w:id="0" w:name="_GoBack"/>
          <w:bookmarkEnd w:id="0"/>
        </w:p>
      </w:tc>
      <w:tc>
        <w:tcPr>
          <w:tcW w:w="2298" w:type="dxa"/>
          <w:tcBorders>
            <w:top w:val="nil"/>
            <w:left w:val="single" w:sz="4" w:space="0" w:color="auto"/>
            <w:bottom w:val="single" w:sz="4" w:space="0" w:color="auto"/>
            <w:right w:val="single" w:sz="4" w:space="0" w:color="auto"/>
          </w:tcBorders>
          <w:vAlign w:val="center"/>
          <w:hideMark/>
        </w:tcPr>
        <w:p w:rsidR="001D684A" w:rsidRDefault="006D2B9C" w:rsidP="00104B5E">
          <w:pPr>
            <w:pStyle w:val="Kopfzeile"/>
            <w:tabs>
              <w:tab w:val="center" w:pos="1675"/>
            </w:tabs>
            <w:rPr>
              <w:sz w:val="16"/>
              <w:szCs w:val="16"/>
            </w:rPr>
          </w:pPr>
          <w:r>
            <w:rPr>
              <w:sz w:val="16"/>
              <w:szCs w:val="16"/>
            </w:rPr>
            <w:fldChar w:fldCharType="begin"/>
          </w:r>
          <w:r>
            <w:rPr>
              <w:sz w:val="16"/>
              <w:szCs w:val="16"/>
            </w:rPr>
            <w:instrText xml:space="preserve"> DOCPROPERTY rox_Geltungsbereich \* MERGEFORMAT </w:instrText>
          </w:r>
          <w:r>
            <w:rPr>
              <w:sz w:val="16"/>
              <w:szCs w:val="16"/>
            </w:rPr>
            <w:fldChar w:fldCharType="end"/>
          </w:r>
        </w:p>
      </w:tc>
    </w:tr>
  </w:tbl>
  <w:p w:rsidR="00AE4AA9" w:rsidRPr="00A06C35" w:rsidRDefault="00AE4AA9" w:rsidP="00411CBD">
    <w:pPr>
      <w:pStyle w:val="Kopfzeile"/>
      <w:rPr>
        <w:sz w:val="8"/>
        <w:szCs w:val="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AA9" w:rsidRDefault="00084AA9">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D59C0"/>
    <w:multiLevelType w:val="hybridMultilevel"/>
    <w:tmpl w:val="CFDCB4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E8A4C68"/>
    <w:multiLevelType w:val="hybridMultilevel"/>
    <w:tmpl w:val="5E6CEC92"/>
    <w:lvl w:ilvl="0" w:tplc="452ADA16">
      <w:start w:val="1"/>
      <w:numFmt w:val="decimal"/>
      <w:lvlText w:val="%1.)"/>
      <w:lvlJc w:val="left"/>
      <w:pPr>
        <w:tabs>
          <w:tab w:val="num" w:pos="720"/>
        </w:tabs>
        <w:ind w:left="720" w:hanging="360"/>
      </w:pPr>
      <w:rPr>
        <w:rFonts w:ascii="Arial" w:eastAsia="Times New Roman" w:hAnsi="Arial" w:cs="Arial"/>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ox_step_bearbeiter" w:val="-"/>
    <w:docVar w:name="rox_step_freigeber" w:val="-"/>
    <w:docVar w:name="rox_step_pruefer" w:val="-"/>
  </w:docVars>
  <w:rsids>
    <w:rsidRoot w:val="001F10F5"/>
    <w:rsid w:val="00002720"/>
    <w:rsid w:val="00021A50"/>
    <w:rsid w:val="00022321"/>
    <w:rsid w:val="000266FC"/>
    <w:rsid w:val="000336EC"/>
    <w:rsid w:val="00040DAE"/>
    <w:rsid w:val="0005044D"/>
    <w:rsid w:val="00084461"/>
    <w:rsid w:val="00084AA9"/>
    <w:rsid w:val="00090EB9"/>
    <w:rsid w:val="000956B3"/>
    <w:rsid w:val="000B7DA6"/>
    <w:rsid w:val="000C00AB"/>
    <w:rsid w:val="000E134E"/>
    <w:rsid w:val="000E66E1"/>
    <w:rsid w:val="000F3C5E"/>
    <w:rsid w:val="00104B5E"/>
    <w:rsid w:val="00120147"/>
    <w:rsid w:val="001216B0"/>
    <w:rsid w:val="00133A43"/>
    <w:rsid w:val="00143CE1"/>
    <w:rsid w:val="00150876"/>
    <w:rsid w:val="00187E17"/>
    <w:rsid w:val="001912CD"/>
    <w:rsid w:val="00191550"/>
    <w:rsid w:val="001A775F"/>
    <w:rsid w:val="001B2874"/>
    <w:rsid w:val="001B5001"/>
    <w:rsid w:val="001C47C4"/>
    <w:rsid w:val="001D2CB9"/>
    <w:rsid w:val="001D46C1"/>
    <w:rsid w:val="001D684A"/>
    <w:rsid w:val="001D7472"/>
    <w:rsid w:val="001F10F5"/>
    <w:rsid w:val="001F2443"/>
    <w:rsid w:val="001F5534"/>
    <w:rsid w:val="00244659"/>
    <w:rsid w:val="00251CFF"/>
    <w:rsid w:val="00253CC0"/>
    <w:rsid w:val="00260D10"/>
    <w:rsid w:val="00264FFE"/>
    <w:rsid w:val="00267249"/>
    <w:rsid w:val="00267CC0"/>
    <w:rsid w:val="00274940"/>
    <w:rsid w:val="00295D47"/>
    <w:rsid w:val="002978CC"/>
    <w:rsid w:val="002B72AA"/>
    <w:rsid w:val="002D500B"/>
    <w:rsid w:val="002E40E7"/>
    <w:rsid w:val="002E70F3"/>
    <w:rsid w:val="002F0C04"/>
    <w:rsid w:val="002F3547"/>
    <w:rsid w:val="003165DB"/>
    <w:rsid w:val="00323D4E"/>
    <w:rsid w:val="00347508"/>
    <w:rsid w:val="003640AE"/>
    <w:rsid w:val="00366692"/>
    <w:rsid w:val="003779E1"/>
    <w:rsid w:val="00385EF0"/>
    <w:rsid w:val="003861D5"/>
    <w:rsid w:val="003A2A20"/>
    <w:rsid w:val="003E038D"/>
    <w:rsid w:val="003E4178"/>
    <w:rsid w:val="003E715D"/>
    <w:rsid w:val="003F03A8"/>
    <w:rsid w:val="003F39D0"/>
    <w:rsid w:val="003F7D20"/>
    <w:rsid w:val="004010AF"/>
    <w:rsid w:val="00411CBD"/>
    <w:rsid w:val="00411DBE"/>
    <w:rsid w:val="004127B1"/>
    <w:rsid w:val="004324FA"/>
    <w:rsid w:val="00445A98"/>
    <w:rsid w:val="0049385C"/>
    <w:rsid w:val="0049784C"/>
    <w:rsid w:val="004A14CA"/>
    <w:rsid w:val="004B04D3"/>
    <w:rsid w:val="004C333B"/>
    <w:rsid w:val="004C52B5"/>
    <w:rsid w:val="004D39BB"/>
    <w:rsid w:val="004D5235"/>
    <w:rsid w:val="00500F83"/>
    <w:rsid w:val="00511D4D"/>
    <w:rsid w:val="00531F92"/>
    <w:rsid w:val="00536793"/>
    <w:rsid w:val="00544905"/>
    <w:rsid w:val="00557F09"/>
    <w:rsid w:val="0057566B"/>
    <w:rsid w:val="00580C61"/>
    <w:rsid w:val="005979AA"/>
    <w:rsid w:val="005D1D7B"/>
    <w:rsid w:val="005F33E4"/>
    <w:rsid w:val="006103A1"/>
    <w:rsid w:val="00611684"/>
    <w:rsid w:val="00614CE0"/>
    <w:rsid w:val="00617481"/>
    <w:rsid w:val="006270EC"/>
    <w:rsid w:val="006304DA"/>
    <w:rsid w:val="00633B12"/>
    <w:rsid w:val="00641DC4"/>
    <w:rsid w:val="0064517D"/>
    <w:rsid w:val="0065317E"/>
    <w:rsid w:val="00655E0A"/>
    <w:rsid w:val="00676542"/>
    <w:rsid w:val="006824CA"/>
    <w:rsid w:val="00686CB6"/>
    <w:rsid w:val="006A1A94"/>
    <w:rsid w:val="006A4737"/>
    <w:rsid w:val="006B26A2"/>
    <w:rsid w:val="006C1DA9"/>
    <w:rsid w:val="006C7406"/>
    <w:rsid w:val="006D2B9C"/>
    <w:rsid w:val="006D5325"/>
    <w:rsid w:val="006E4D88"/>
    <w:rsid w:val="006F1C85"/>
    <w:rsid w:val="007027CF"/>
    <w:rsid w:val="007042DB"/>
    <w:rsid w:val="007051EF"/>
    <w:rsid w:val="00714805"/>
    <w:rsid w:val="00726B27"/>
    <w:rsid w:val="00755CC7"/>
    <w:rsid w:val="0078494A"/>
    <w:rsid w:val="007973CB"/>
    <w:rsid w:val="007B54F9"/>
    <w:rsid w:val="007B7CE3"/>
    <w:rsid w:val="007C0BC7"/>
    <w:rsid w:val="007C13C6"/>
    <w:rsid w:val="007C6C76"/>
    <w:rsid w:val="007D4DB7"/>
    <w:rsid w:val="007E265D"/>
    <w:rsid w:val="007E4F0F"/>
    <w:rsid w:val="007F0E5A"/>
    <w:rsid w:val="00837621"/>
    <w:rsid w:val="008471ED"/>
    <w:rsid w:val="00852955"/>
    <w:rsid w:val="00856D45"/>
    <w:rsid w:val="00861DCC"/>
    <w:rsid w:val="0087290D"/>
    <w:rsid w:val="00875151"/>
    <w:rsid w:val="00895FC0"/>
    <w:rsid w:val="0089666B"/>
    <w:rsid w:val="008A3AA5"/>
    <w:rsid w:val="008B1E6A"/>
    <w:rsid w:val="008B50E1"/>
    <w:rsid w:val="008D18EC"/>
    <w:rsid w:val="008D1D93"/>
    <w:rsid w:val="008E52D4"/>
    <w:rsid w:val="008F5B6C"/>
    <w:rsid w:val="00900FD9"/>
    <w:rsid w:val="009060EC"/>
    <w:rsid w:val="00914F08"/>
    <w:rsid w:val="00916F6F"/>
    <w:rsid w:val="00931F59"/>
    <w:rsid w:val="0093697F"/>
    <w:rsid w:val="00943132"/>
    <w:rsid w:val="009634C8"/>
    <w:rsid w:val="00964562"/>
    <w:rsid w:val="00965974"/>
    <w:rsid w:val="009661DC"/>
    <w:rsid w:val="00973C28"/>
    <w:rsid w:val="00973FD2"/>
    <w:rsid w:val="00974DBB"/>
    <w:rsid w:val="009A0D53"/>
    <w:rsid w:val="009A3C37"/>
    <w:rsid w:val="009A799D"/>
    <w:rsid w:val="009B0A9D"/>
    <w:rsid w:val="009C3390"/>
    <w:rsid w:val="009C42AD"/>
    <w:rsid w:val="009E0B56"/>
    <w:rsid w:val="009E5414"/>
    <w:rsid w:val="009F03EC"/>
    <w:rsid w:val="009F52BE"/>
    <w:rsid w:val="009F7868"/>
    <w:rsid w:val="009F7CBB"/>
    <w:rsid w:val="00A06C35"/>
    <w:rsid w:val="00A12951"/>
    <w:rsid w:val="00A21B55"/>
    <w:rsid w:val="00A23E05"/>
    <w:rsid w:val="00A414AB"/>
    <w:rsid w:val="00A52A71"/>
    <w:rsid w:val="00A56617"/>
    <w:rsid w:val="00A9047A"/>
    <w:rsid w:val="00AA51C2"/>
    <w:rsid w:val="00AA6559"/>
    <w:rsid w:val="00AC7783"/>
    <w:rsid w:val="00AE4AA9"/>
    <w:rsid w:val="00AE6A6E"/>
    <w:rsid w:val="00AF3628"/>
    <w:rsid w:val="00AF695D"/>
    <w:rsid w:val="00AF6A0E"/>
    <w:rsid w:val="00B23799"/>
    <w:rsid w:val="00B25564"/>
    <w:rsid w:val="00B273DF"/>
    <w:rsid w:val="00B278B7"/>
    <w:rsid w:val="00B3644F"/>
    <w:rsid w:val="00B401D4"/>
    <w:rsid w:val="00B576DD"/>
    <w:rsid w:val="00B60087"/>
    <w:rsid w:val="00B70D5C"/>
    <w:rsid w:val="00B93015"/>
    <w:rsid w:val="00B94219"/>
    <w:rsid w:val="00BB0000"/>
    <w:rsid w:val="00BB59CD"/>
    <w:rsid w:val="00BC7EFA"/>
    <w:rsid w:val="00BC7FB2"/>
    <w:rsid w:val="00BD0828"/>
    <w:rsid w:val="00BD29D4"/>
    <w:rsid w:val="00BD37DE"/>
    <w:rsid w:val="00BD3D5D"/>
    <w:rsid w:val="00BD6D43"/>
    <w:rsid w:val="00BF1A74"/>
    <w:rsid w:val="00BF4B00"/>
    <w:rsid w:val="00C005AD"/>
    <w:rsid w:val="00C04D86"/>
    <w:rsid w:val="00C0726E"/>
    <w:rsid w:val="00C11A06"/>
    <w:rsid w:val="00C31357"/>
    <w:rsid w:val="00C31780"/>
    <w:rsid w:val="00C34798"/>
    <w:rsid w:val="00C404AD"/>
    <w:rsid w:val="00C57EFF"/>
    <w:rsid w:val="00C6332D"/>
    <w:rsid w:val="00C641F4"/>
    <w:rsid w:val="00C741BB"/>
    <w:rsid w:val="00C9377E"/>
    <w:rsid w:val="00CC495A"/>
    <w:rsid w:val="00CC5580"/>
    <w:rsid w:val="00CC56A8"/>
    <w:rsid w:val="00CE2E22"/>
    <w:rsid w:val="00CE75F6"/>
    <w:rsid w:val="00CF1B18"/>
    <w:rsid w:val="00CF1E1E"/>
    <w:rsid w:val="00D1000D"/>
    <w:rsid w:val="00D2686E"/>
    <w:rsid w:val="00D33381"/>
    <w:rsid w:val="00D407DF"/>
    <w:rsid w:val="00D42E75"/>
    <w:rsid w:val="00D53350"/>
    <w:rsid w:val="00D968F7"/>
    <w:rsid w:val="00DA70D7"/>
    <w:rsid w:val="00DB49A8"/>
    <w:rsid w:val="00DB7824"/>
    <w:rsid w:val="00DC1D0E"/>
    <w:rsid w:val="00DC274E"/>
    <w:rsid w:val="00DE2DDA"/>
    <w:rsid w:val="00DE6B95"/>
    <w:rsid w:val="00DF7524"/>
    <w:rsid w:val="00E01BA1"/>
    <w:rsid w:val="00E1785D"/>
    <w:rsid w:val="00E265B6"/>
    <w:rsid w:val="00E36559"/>
    <w:rsid w:val="00E46F46"/>
    <w:rsid w:val="00E63B4D"/>
    <w:rsid w:val="00E65789"/>
    <w:rsid w:val="00E95A1D"/>
    <w:rsid w:val="00EA02DD"/>
    <w:rsid w:val="00EA4EF6"/>
    <w:rsid w:val="00EC7C1F"/>
    <w:rsid w:val="00EE3308"/>
    <w:rsid w:val="00EF3851"/>
    <w:rsid w:val="00F0322D"/>
    <w:rsid w:val="00F15ADC"/>
    <w:rsid w:val="00F160F7"/>
    <w:rsid w:val="00F30A37"/>
    <w:rsid w:val="00F42AD7"/>
    <w:rsid w:val="00F44124"/>
    <w:rsid w:val="00F60E1C"/>
    <w:rsid w:val="00F65DD7"/>
    <w:rsid w:val="00F67FB8"/>
    <w:rsid w:val="00F70327"/>
    <w:rsid w:val="00F70A89"/>
    <w:rsid w:val="00F87E1A"/>
    <w:rsid w:val="00F9623B"/>
    <w:rsid w:val="00FA20A3"/>
    <w:rsid w:val="00FA51F9"/>
    <w:rsid w:val="00FB38B7"/>
    <w:rsid w:val="00FC0C75"/>
    <w:rsid w:val="00FC1B71"/>
    <w:rsid w:val="00FC55CF"/>
    <w:rsid w:val="00FE13C6"/>
    <w:rsid w:val="00FF60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A2F904-E6D2-4584-9502-F07E82B68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37DE"/>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F10F5"/>
    <w:pPr>
      <w:tabs>
        <w:tab w:val="center" w:pos="4536"/>
        <w:tab w:val="right" w:pos="9072"/>
      </w:tabs>
    </w:pPr>
    <w:rPr>
      <w:lang w:val="x-none" w:eastAsia="x-none"/>
    </w:rPr>
  </w:style>
  <w:style w:type="paragraph" w:styleId="Fuzeile">
    <w:name w:val="footer"/>
    <w:basedOn w:val="Standard"/>
    <w:link w:val="FuzeileZchn"/>
    <w:uiPriority w:val="99"/>
    <w:rsid w:val="001F10F5"/>
    <w:pPr>
      <w:tabs>
        <w:tab w:val="center" w:pos="4536"/>
        <w:tab w:val="right" w:pos="9072"/>
      </w:tabs>
    </w:pPr>
  </w:style>
  <w:style w:type="table" w:styleId="Tabellenraster">
    <w:name w:val="Table Grid"/>
    <w:basedOn w:val="NormaleTabelle"/>
    <w:rsid w:val="001F1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87E1A"/>
  </w:style>
  <w:style w:type="table" w:styleId="TabelleEinfach1">
    <w:name w:val="Table Simple 1"/>
    <w:basedOn w:val="NormaleTabelle"/>
    <w:rsid w:val="0087515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prechblasentext">
    <w:name w:val="Balloon Text"/>
    <w:basedOn w:val="Standard"/>
    <w:link w:val="SprechblasentextZchn"/>
    <w:rsid w:val="000C00AB"/>
    <w:rPr>
      <w:rFonts w:ascii="Tahoma" w:hAnsi="Tahoma"/>
      <w:sz w:val="16"/>
      <w:szCs w:val="16"/>
      <w:lang w:val="x-none" w:eastAsia="x-none"/>
    </w:rPr>
  </w:style>
  <w:style w:type="character" w:customStyle="1" w:styleId="SprechblasentextZchn">
    <w:name w:val="Sprechblasentext Zchn"/>
    <w:link w:val="Sprechblasentext"/>
    <w:rsid w:val="000C00AB"/>
    <w:rPr>
      <w:rFonts w:ascii="Tahoma" w:hAnsi="Tahoma" w:cs="Tahoma"/>
      <w:sz w:val="16"/>
      <w:szCs w:val="16"/>
    </w:rPr>
  </w:style>
  <w:style w:type="character" w:customStyle="1" w:styleId="KopfzeileZchn">
    <w:name w:val="Kopfzeile Zchn"/>
    <w:link w:val="Kopfzeile"/>
    <w:uiPriority w:val="99"/>
    <w:rsid w:val="003861D5"/>
    <w:rPr>
      <w:rFonts w:ascii="Arial" w:hAnsi="Arial"/>
      <w:sz w:val="22"/>
      <w:szCs w:val="24"/>
    </w:rPr>
  </w:style>
  <w:style w:type="character" w:customStyle="1" w:styleId="FuzeileZchn">
    <w:name w:val="Fußzeile Zchn"/>
    <w:basedOn w:val="Absatz-Standardschriftart"/>
    <w:link w:val="Fuzeile"/>
    <w:uiPriority w:val="99"/>
    <w:rsid w:val="009E0B56"/>
    <w:rPr>
      <w:rFonts w:ascii="Arial" w:hAnsi="Arial"/>
      <w:sz w:val="22"/>
      <w:szCs w:val="24"/>
    </w:rPr>
  </w:style>
  <w:style w:type="paragraph" w:styleId="Listenabsatz">
    <w:name w:val="List Paragraph"/>
    <w:basedOn w:val="Standard"/>
    <w:uiPriority w:val="34"/>
    <w:qFormat/>
    <w:rsid w:val="00DE2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798F3-F86F-457A-B1E3-07F879F33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1817</Words>
  <Characters>11454</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Vorlage Formular A4 NW hoch mit Logo</vt:lpstr>
    </vt:vector>
  </TitlesOfParts>
  <Company>Dr. Senckenbergsiche Stiftung</Company>
  <LinksUpToDate>false</LinksUpToDate>
  <CharactersWithSpaces>13245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Formular A4 NW hoch mit Logo</dc:title>
  <dc:creator>ShareCenterRemote</dc:creator>
  <dc:description>Vereinbarung für den Fall vorhersehbarer Verhinderung des Wahlarztes</dc:description>
  <cp:lastModifiedBy>Leuthäuser, Angelika</cp:lastModifiedBy>
  <cp:revision>2</cp:revision>
  <cp:lastPrinted>2013-11-21T10:10:00Z</cp:lastPrinted>
  <dcterms:created xsi:type="dcterms:W3CDTF">2022-08-01T07:05:00Z</dcterms:created>
  <dcterms:modified xsi:type="dcterms:W3CDTF">2022-08-01T07:05:00Z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Ausgebenderbereich">
    <vt:lpwstr/>
  </property>
  <property fmtid="{D5CDD505-2E9C-101B-9397-08002B2CF9AE}" pid="3" name="rox_Description">
    <vt:lpwstr>Vereinbarung für den Fall vorhersehbarer Verhinderung des Wahlarztes</vt:lpwstr>
  </property>
  <property fmtid="{D5CDD505-2E9C-101B-9397-08002B2CF9AE}" pid="4" name="rox_DocPath">
    <vt:lpwstr>Dokumente/Zentralverwaltung/Finanzen und Controlling/Patientenmanagement/Formulare/</vt:lpwstr>
  </property>
  <property fmtid="{D5CDD505-2E9C-101B-9397-08002B2CF9AE}" pid="5" name="rox_DocType">
    <vt:lpwstr>Formular (FO)</vt:lpwstr>
  </property>
  <property fmtid="{D5CDD505-2E9C-101B-9397-08002B2CF9AE}" pid="6" name="rox_FileName">
    <vt:lpwstr>Vorlage Formular A4 NW hoch mit Logo.docx</vt:lpwstr>
  </property>
  <property fmtid="{D5CDD505-2E9C-101B-9397-08002B2CF9AE}" pid="7" name="rox_Geltungsbereich">
    <vt:lpwstr/>
  </property>
  <property fmtid="{D5CDD505-2E9C-101B-9397-08002B2CF9AE}" pid="8" name="rox_ID">
    <vt:lpwstr>15034</vt:lpwstr>
  </property>
  <property fmtid="{D5CDD505-2E9C-101B-9397-08002B2CF9AE}" pid="9" name="rox_ISO90012015">
    <vt:lpwstr/>
  </property>
  <property fmtid="{D5CDD505-2E9C-101B-9397-08002B2CF9AE}" pid="10" name="rox_Meta">
    <vt:lpwstr>21</vt:lpwstr>
  </property>
  <property fmtid="{D5CDD505-2E9C-101B-9397-08002B2CF9AE}" pid="11" name="rox_Meta0">
    <vt:lpwstr>&lt;fields&gt;&lt;Field id="rox_Size" caption="Dateigröße" orderid="12" /&gt;&lt;Field id="rox_ID" caption="ID" orderid="32" /&gt;&lt;Field id="rox_</vt:lpwstr>
  </property>
  <property fmtid="{D5CDD505-2E9C-101B-9397-08002B2CF9AE}" pid="12" name="rox_Meta1">
    <vt:lpwstr>Title" caption="Titel" orderid="1" /&gt;&lt;Field id="rox_Status" caption="Status" orderid="3" /&gt;&lt;Field id="rox_Revision" caption="Ve</vt:lpwstr>
  </property>
  <property fmtid="{D5CDD505-2E9C-101B-9397-08002B2CF9AE}" pid="13" name="rox_Meta10">
    <vt:lpwstr>ield&gt;&lt;Field id="rox_step_bearbeiter_alle" caption="Ersteller (alle)" orderid="20" /&gt;&lt;Field id="rox_step_pruefung_d" caption="Pr</vt:lpwstr>
  </property>
  <property fmtid="{D5CDD505-2E9C-101B-9397-08002B2CF9AE}" pid="14" name="rox_Meta11">
    <vt:lpwstr>üfung abgeschlossen am" orderid="21" /&gt;&lt;Field id="rox_step_pruefung_u" caption="Prüfung abgeschlossen durch" orderid="22" /&gt;&lt;Fi</vt:lpwstr>
  </property>
  <property fmtid="{D5CDD505-2E9C-101B-9397-08002B2CF9AE}" pid="15" name="rox_Meta12">
    <vt:lpwstr>eld id="rox_step_pruefer" caption="Freigeber (alle)" type="roleconcat" orderid="23"&gt;-&lt;/Field&gt;&lt;Field id="rox_step_pruefer_alle</vt:lpwstr>
  </property>
  <property fmtid="{D5CDD505-2E9C-101B-9397-08002B2CF9AE}" pid="16" name="rox_Meta13">
    <vt:lpwstr>" caption="Freigeber (alle)" orderid="24" /&gt;&lt;Field id="rox_step_freigabe_d" caption="Freigabe abgeschlossen am" orderid="25" /&gt;</vt:lpwstr>
  </property>
  <property fmtid="{D5CDD505-2E9C-101B-9397-08002B2CF9AE}" pid="17" name="rox_Meta14">
    <vt:lpwstr>&lt;Field id="rox_step_freigabe_u" caption="Freigabe abgeschlossen durch" orderid="26" /&gt;&lt;Field id="rox_step_freigeber" caption="V</vt:lpwstr>
  </property>
  <property fmtid="{D5CDD505-2E9C-101B-9397-08002B2CF9AE}" pid="18" name="rox_Meta15">
    <vt:lpwstr>eröffentlicher (alle)" type="roleconcat" orderid="27"&gt;-&lt;/Field&gt;&lt;Field id="rox_step_freigeber_alle" caption="Veröffentlicher (al</vt:lpwstr>
  </property>
  <property fmtid="{D5CDD505-2E9C-101B-9397-08002B2CF9AE}" pid="19" name="rox_Meta16">
    <vt:lpwstr>le)" orderid="28" /&gt;&lt;Field id="rox_ReferencesTo" caption="Referenzen auf" type="RefTo" url="http://ROXTRA0/Roxtra" colcount="1</vt:lpwstr>
  </property>
  <property fmtid="{D5CDD505-2E9C-101B-9397-08002B2CF9AE}" pid="20" name="rox_Meta17">
    <vt:lpwstr>" orderid="35" /&gt;&lt;GlobalFieldHandler url="http://ROXTRA0/Roxtra/doc/DownloadGlobalFieldHandler.ashx?token=eyJhbGciOiJIUzI1NiIsI</vt:lpwstr>
  </property>
  <property fmtid="{D5CDD505-2E9C-101B-9397-08002B2CF9AE}" pid="21" name="rox_Meta18">
    <vt:lpwstr>mtpZCI6IjNlMjk3MDA2LTMwMmUtNGI4Ni05MTUxLTc3YWYzOWRhYjg0MyIsInR5cCI6IkpXVCJ9.eyJVc2VySUQiOiItMSIsInJlcXVlc3RlZEJ5Q2xpZW50SUQiOiI</vt:lpwstr>
  </property>
  <property fmtid="{D5CDD505-2E9C-101B-9397-08002B2CF9AE}" pid="22" name="rox_Meta19">
    <vt:lpwstr>zZTI5NzAwNi0zMDJlLTRiODYtOTE1MS03N2FmMzlkYWI4NDMiLCJuYmYiOjE2NTU3MTc3NzksImV4cCI6MTY1NTcyMTM3OSwiaWF0IjoxNjU1NzE3Nzc5LCJpc3MiOi</vt:lpwstr>
  </property>
  <property fmtid="{D5CDD505-2E9C-101B-9397-08002B2CF9AE}" pid="23" name="rox_Meta2">
    <vt:lpwstr>rsion" orderid="4" /&gt;&lt;Field id="rox_Description" caption="Beschreibung" orderid="5" /&gt;&lt;Field id="rox_DocType" caption="Dokument</vt:lpwstr>
  </property>
  <property fmtid="{D5CDD505-2E9C-101B-9397-08002B2CF9AE}" pid="24" name="rox_Meta20">
    <vt:lpwstr>Jyb1h0cmEifQ.b0Py8lMyu8GMhqmqTgYkQd2O9ueuX0uRca3OK1gOUE4" /&gt;&lt;/fields&gt;</vt:lpwstr>
  </property>
  <property fmtid="{D5CDD505-2E9C-101B-9397-08002B2CF9AE}" pid="25" name="rox_Meta3">
    <vt:lpwstr>entyp" orderid="11" /&gt;&lt;Field id="rox_UpdatedBy" caption="Geändert durch" orderid="16" /&gt;&lt;Field id="rox_UpdatedAt" caption="Geän</vt:lpwstr>
  </property>
  <property fmtid="{D5CDD505-2E9C-101B-9397-08002B2CF9AE}" pid="26" name="rox_Meta4">
    <vt:lpwstr>dert am" orderid="15" /&gt;&lt;Field id="rox_DocPath" caption="Pfad" orderid="33" /&gt;&lt;Field id="rox_ParentDocTitle" caption="Ordner" o</vt:lpwstr>
  </property>
  <property fmtid="{D5CDD505-2E9C-101B-9397-08002B2CF9AE}" pid="27" name="rox_Meta5">
    <vt:lpwstr>rderid="34" /&gt;&lt;Field id="rox_FileName" caption="Dateiname" orderid="2" /&gt;&lt;Field id="rox_Wiedervorlage" caption="Wiedervorlage</vt:lpwstr>
  </property>
  <property fmtid="{D5CDD505-2E9C-101B-9397-08002B2CF9AE}" pid="28" name="rox_Meta6">
    <vt:lpwstr>" orderid="6" /&gt;&lt;Field id="rox_ISO90012015" caption="ISO 9001:2015" orderid="7" /&gt;&lt;Field id="rox_Geltungsbereich" caption="Gelt</vt:lpwstr>
  </property>
  <property fmtid="{D5CDD505-2E9C-101B-9397-08002B2CF9AE}" pid="29" name="rox_Meta7">
    <vt:lpwstr>ungsbereich" orderid="8" /&gt;&lt;Field id="rox_Ausgebenderbereich" caption="Ausgebender bereich" orderid="9" /&gt;&lt;Field id="rox_step_b</vt:lpwstr>
  </property>
  <property fmtid="{D5CDD505-2E9C-101B-9397-08002B2CF9AE}" pid="30" name="rox_Meta8">
    <vt:lpwstr>earbeitung_d" caption="Bearbeitung abgeschlossen am" orderid="17" /&gt;&lt;Field id="rox_step_bearbeitung_u" caption="Bearbeitung abg</vt:lpwstr>
  </property>
  <property fmtid="{D5CDD505-2E9C-101B-9397-08002B2CF9AE}" pid="31" name="rox_Meta9">
    <vt:lpwstr>eschlossen durch" orderid="18" /&gt;&lt;Field id="rox_step_bearbeiter" caption="Ersteller (alle)" type="roleconcat" orderid="19"&gt;-&lt;/F</vt:lpwstr>
  </property>
  <property fmtid="{D5CDD505-2E9C-101B-9397-08002B2CF9AE}" pid="32" name="rox_ParentDocTitle">
    <vt:lpwstr>Formulare</vt:lpwstr>
  </property>
  <property fmtid="{D5CDD505-2E9C-101B-9397-08002B2CF9AE}" pid="33" name="rox_ReferencesTo">
    <vt:lpwstr>...</vt:lpwstr>
  </property>
  <property fmtid="{D5CDD505-2E9C-101B-9397-08002B2CF9AE}" pid="34" name="rox_Revision">
    <vt:lpwstr>001/06.2022</vt:lpwstr>
  </property>
  <property fmtid="{D5CDD505-2E9C-101B-9397-08002B2CF9AE}" pid="35" name="rox_Size">
    <vt:lpwstr>207187</vt:lpwstr>
  </property>
  <property fmtid="{D5CDD505-2E9C-101B-9397-08002B2CF9AE}" pid="36" name="rox_Status">
    <vt:lpwstr>Entwurf</vt:lpwstr>
  </property>
  <property fmtid="{D5CDD505-2E9C-101B-9397-08002B2CF9AE}" pid="37" name="rox_step_bearbeiter_alle">
    <vt:lpwstr/>
  </property>
  <property fmtid="{D5CDD505-2E9C-101B-9397-08002B2CF9AE}" pid="38" name="rox_step_bearbeitung_d">
    <vt:lpwstr/>
  </property>
  <property fmtid="{D5CDD505-2E9C-101B-9397-08002B2CF9AE}" pid="39" name="rox_step_bearbeitung_u">
    <vt:lpwstr/>
  </property>
  <property fmtid="{D5CDD505-2E9C-101B-9397-08002B2CF9AE}" pid="40" name="rox_step_freigabe_d">
    <vt:lpwstr/>
  </property>
  <property fmtid="{D5CDD505-2E9C-101B-9397-08002B2CF9AE}" pid="41" name="rox_step_freigabe_u">
    <vt:lpwstr/>
  </property>
  <property fmtid="{D5CDD505-2E9C-101B-9397-08002B2CF9AE}" pid="42" name="rox_step_freigeber_alle">
    <vt:lpwstr/>
  </property>
  <property fmtid="{D5CDD505-2E9C-101B-9397-08002B2CF9AE}" pid="43" name="rox_step_pruefer_alle">
    <vt:lpwstr/>
  </property>
  <property fmtid="{D5CDD505-2E9C-101B-9397-08002B2CF9AE}" pid="44" name="rox_step_pruefung_d">
    <vt:lpwstr/>
  </property>
  <property fmtid="{D5CDD505-2E9C-101B-9397-08002B2CF9AE}" pid="45" name="rox_step_pruefung_u">
    <vt:lpwstr/>
  </property>
  <property fmtid="{D5CDD505-2E9C-101B-9397-08002B2CF9AE}" pid="46" name="rox_Title">
    <vt:lpwstr>Vorlage Formular A4 NW hoch mit Logo</vt:lpwstr>
  </property>
  <property fmtid="{D5CDD505-2E9C-101B-9397-08002B2CF9AE}" pid="47" name="rox_UpdatedAt">
    <vt:lpwstr>20.06.2022</vt:lpwstr>
  </property>
  <property fmtid="{D5CDD505-2E9C-101B-9397-08002B2CF9AE}" pid="48" name="rox_UpdatedBy">
    <vt:lpwstr>Marx, Jennifer</vt:lpwstr>
  </property>
  <property fmtid="{D5CDD505-2E9C-101B-9397-08002B2CF9AE}" pid="49" name="rox_Wiedervorlage">
    <vt:lpwstr>01.06.2023</vt:lpwstr>
  </property>
</Properties>
</file>